
<file path=[Content_Types].xml><?xml version="1.0" encoding="utf-8"?>
<Types xmlns="http://schemas.openxmlformats.org/package/2006/content-types">
  <Default Extension="xml" ContentType="application/xml"/>
  <Default Extension="bin" ContentType="application/vnd.openxmlformats-officedocument.oleObject"/>
  <Default Extension="bmp" ContentType="image/bmp"/>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720"/>
        </w:tabs>
        <w:jc w:val="right"/>
        <w:rPr>
          <w:rFonts w:ascii="Georgia" w:hAnsi="Georgia"/>
          <w:sz w:val="112"/>
          <w:szCs w:val="112"/>
        </w:rPr>
      </w:pPr>
      <w:bookmarkStart w:id="0" w:name="_Toc23974742"/>
      <w:bookmarkStart w:id="1" w:name="_Toc525292963"/>
      <w:bookmarkStart w:id="2" w:name="_Toc23622227"/>
      <w:bookmarkStart w:id="3" w:name="_Toc533774753"/>
      <w:r>
        <w:rPr>
          <w:rFonts w:ascii="Georgia" w:hAnsi="Georgia" w:cs="Georgia"/>
          <w:sz w:val="112"/>
          <w:szCs w:val="112"/>
        </w:rPr>
        <w:t>JJ</w:t>
      </w:r>
      <w:bookmarkEnd w:id="0"/>
      <w:bookmarkEnd w:id="1"/>
      <w:bookmarkEnd w:id="2"/>
      <w:bookmarkEnd w:id="3"/>
      <w:r>
        <w:rPr>
          <w:rFonts w:hint="eastAsia" w:ascii="Georgia" w:hAnsi="Georgia" w:cs="Georgia"/>
          <w:sz w:val="112"/>
          <w:szCs w:val="112"/>
        </w:rPr>
        <w:t>F</w:t>
      </w:r>
    </w:p>
    <w:p>
      <w:pPr>
        <w:tabs>
          <w:tab w:val="left" w:pos="9030"/>
        </w:tabs>
        <w:rPr>
          <w:b/>
          <w:sz w:val="52"/>
        </w:rPr>
      </w:pPr>
      <w:r>
        <w:rPr>
          <w:rFonts w:ascii="宋体" w:hAnsi="Garamond"/>
          <w:b/>
          <w:spacing w:val="16"/>
          <w:w w:val="110"/>
          <w:sz w:val="52"/>
          <w:szCs w:val="20"/>
        </w:rPr>
        <w:t>中华人民共和国国家计量</w:t>
      </w:r>
      <w:r>
        <w:rPr>
          <w:rFonts w:hint="eastAsia" w:ascii="宋体" w:hAnsi="Garamond"/>
          <w:b/>
          <w:spacing w:val="16"/>
          <w:w w:val="110"/>
          <w:sz w:val="52"/>
          <w:szCs w:val="20"/>
        </w:rPr>
        <w:t>技术规范</w:t>
      </w:r>
    </w:p>
    <w:p>
      <w:pPr>
        <w:rPr>
          <w:sz w:val="28"/>
        </w:rPr>
      </w:pPr>
      <w:r>
        <w:rPr>
          <w:sz w:val="28"/>
        </w:rPr>
        <w:t xml:space="preserve">                                           JJ</w:t>
      </w:r>
      <w:r>
        <w:rPr>
          <w:rFonts w:hint="eastAsia"/>
          <w:sz w:val="28"/>
        </w:rPr>
        <w:t>F</w:t>
      </w:r>
      <w:r>
        <w:rPr>
          <w:sz w:val="28"/>
        </w:rPr>
        <w:t xml:space="preserve"> ××××—××××</w:t>
      </w:r>
    </w:p>
    <w:p>
      <w:pPr>
        <w:rPr>
          <w:sz w:val="30"/>
        </w:rPr>
      </w:pPr>
      <w:r>
        <w:rPr>
          <w:sz w:val="30"/>
        </w:rPr>
        <w:pict>
          <v:line id="直线 15" o:spid="_x0000_s2050" o:spt="20" style="position:absolute;left:0pt;margin-left:0pt;margin-top:0pt;height:0pt;width:462pt;z-index:251660288;mso-width-relative:page;mso-height-relative:page;" coordsize="21600,21600" o:allowincell="f" o:gfxdata="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YnX4PQAAAAAgEAAA8A&#10;AAAAAAAAAQAgAAAAIgAAAGRycy9kb3ducmV2LnhtbFBLAQIUABQAAAAIAIdO4kC0X6mq5gEAAN8D&#10;AAAOAAAAAAAAAAEAIAAAAB8BAABkcnMvZTJvRG9jLnhtbFBLBQYAAAAABgAGAFkBAAB3BQAAAAA=&#10;">
            <v:path arrowok="t"/>
            <v:fill focussize="0,0"/>
            <v:stroke/>
            <v:imagedata o:title=""/>
            <o:lock v:ext="edit"/>
          </v:line>
        </w:pict>
      </w:r>
    </w:p>
    <w:p>
      <w:pPr>
        <w:jc w:val="center"/>
        <w:rPr>
          <w:sz w:val="32"/>
        </w:rPr>
      </w:pPr>
    </w:p>
    <w:p>
      <w:pPr>
        <w:jc w:val="center"/>
        <w:rPr>
          <w:rFonts w:eastAsia="黑体"/>
          <w:sz w:val="52"/>
        </w:rPr>
      </w:pPr>
      <w:r>
        <w:rPr>
          <w:rFonts w:hint="eastAsia" w:eastAsia="黑体"/>
          <w:sz w:val="52"/>
        </w:rPr>
        <w:t>试听室声学特性测试技术规范</w:t>
      </w:r>
    </w:p>
    <w:p>
      <w:pPr>
        <w:pStyle w:val="47"/>
        <w:snapToGrid w:val="0"/>
        <w:spacing w:before="120" w:line="360" w:lineRule="auto"/>
        <w:rPr>
          <w:rFonts w:eastAsia="宋体"/>
          <w:b w:val="0"/>
          <w:szCs w:val="24"/>
        </w:rPr>
      </w:pPr>
      <w:r>
        <w:rPr>
          <w:rFonts w:hint="eastAsia" w:eastAsia="宋体"/>
          <w:b w:val="0"/>
          <w:szCs w:val="24"/>
        </w:rPr>
        <w:t>Measurement Specification for Acoustic Performance of Listening Test Rooms</w:t>
      </w:r>
    </w:p>
    <w:p>
      <w:pPr>
        <w:pStyle w:val="47"/>
        <w:snapToGrid w:val="0"/>
        <w:spacing w:before="120" w:line="360" w:lineRule="auto"/>
        <w:rPr>
          <w:rFonts w:eastAsia="宋体"/>
          <w:b w:val="0"/>
          <w:szCs w:val="24"/>
        </w:rPr>
      </w:pPr>
    </w:p>
    <w:p>
      <w:pPr>
        <w:pStyle w:val="47"/>
        <w:snapToGrid w:val="0"/>
        <w:spacing w:before="120" w:line="360" w:lineRule="auto"/>
        <w:rPr>
          <w:rFonts w:eastAsia="宋体"/>
        </w:rPr>
      </w:pPr>
    </w:p>
    <w:p>
      <w:pPr>
        <w:pStyle w:val="47"/>
        <w:snapToGrid w:val="0"/>
        <w:spacing w:before="120" w:line="360" w:lineRule="auto"/>
        <w:rPr>
          <w:rFonts w:eastAsia="宋体"/>
        </w:rPr>
      </w:pPr>
    </w:p>
    <w:p>
      <w:pPr>
        <w:pStyle w:val="47"/>
        <w:snapToGrid w:val="0"/>
        <w:spacing w:before="120" w:line="360" w:lineRule="auto"/>
        <w:rPr>
          <w:rFonts w:eastAsia="宋体"/>
        </w:rPr>
      </w:pPr>
    </w:p>
    <w:p>
      <w:pPr>
        <w:jc w:val="center"/>
        <w:rPr>
          <w:sz w:val="30"/>
        </w:rPr>
      </w:pPr>
      <w:r>
        <w:rPr>
          <w:sz w:val="30"/>
        </w:rPr>
        <w:t xml:space="preserve"> （</w:t>
      </w:r>
      <w:r>
        <w:rPr>
          <w:rFonts w:hint="eastAsia"/>
          <w:sz w:val="30"/>
        </w:rPr>
        <w:t>征求意见稿）</w:t>
      </w:r>
    </w:p>
    <w:p>
      <w:pPr>
        <w:jc w:val="center"/>
        <w:rPr>
          <w:rFonts w:ascii="仿宋" w:hAnsi="仿宋" w:eastAsia="仿宋"/>
          <w:sz w:val="30"/>
        </w:rPr>
      </w:pPr>
    </w:p>
    <w:p>
      <w:pPr>
        <w:rPr>
          <w:sz w:val="30"/>
        </w:rPr>
      </w:pPr>
    </w:p>
    <w:p>
      <w:pPr>
        <w:rPr>
          <w:sz w:val="30"/>
        </w:rPr>
      </w:pPr>
    </w:p>
    <w:p>
      <w:pPr>
        <w:rPr>
          <w:sz w:val="30"/>
        </w:rPr>
      </w:pPr>
    </w:p>
    <w:p>
      <w:pPr>
        <w:rPr>
          <w:sz w:val="30"/>
        </w:rPr>
      </w:pPr>
    </w:p>
    <w:p>
      <w:pPr>
        <w:ind w:firstLine="560" w:firstLineChars="200"/>
        <w:rPr>
          <w:rFonts w:eastAsia="黑体"/>
          <w:sz w:val="28"/>
        </w:rPr>
      </w:pPr>
      <w:r>
        <w:rPr>
          <w:rFonts w:eastAsia="黑体"/>
          <w:sz w:val="28"/>
        </w:rPr>
        <w:pict>
          <v:line id="直线 16" o:spid="_x0000_s2051" o:spt="20" style="position:absolute;left:0pt;flip:y;margin-left:0pt;margin-top:27.05pt;height:0pt;width:462pt;z-index:251661312;mso-width-relative:page;mso-height-relative:page;" coordsize="21600,21600" o:allowincell="f" o:gfxdata="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sMLa&#10;0wAAAAYBAAAPAAAAAAAAAAEAIAAAACIAAABkcnMvZG93bnJldi54bWxQSwECFAAUAAAACACHTuJA&#10;zuRCHu0BAADpAwAADgAAAAAAAAABACAAAAAiAQAAZHJzL2Uyb0RvYy54bWxQSwUGAAAAAAYABgBZ&#10;AQAAgQUAAAAA&#10;">
            <v:path arrowok="t"/>
            <v:fill focussize="0,0"/>
            <v:stroke/>
            <v:imagedata o:title=""/>
            <o:lock v:ext="edit"/>
          </v:line>
        </w:pict>
      </w:r>
      <w:r>
        <w:rPr>
          <w:rFonts w:hint="eastAsia" w:eastAsia="黑体"/>
          <w:sz w:val="28"/>
        </w:rPr>
        <w:t>202</w:t>
      </w:r>
      <w:r>
        <w:rPr>
          <w:rFonts w:eastAsia="黑体"/>
          <w:sz w:val="28"/>
        </w:rPr>
        <w:t xml:space="preserve">×-××-××发布                   </w:t>
      </w:r>
      <w:r>
        <w:rPr>
          <w:rFonts w:eastAsia="黑体"/>
          <w:sz w:val="28"/>
        </w:rPr>
        <w:tab/>
      </w:r>
      <w:r>
        <w:rPr>
          <w:rFonts w:hint="eastAsia" w:eastAsia="黑体"/>
          <w:sz w:val="28"/>
        </w:rPr>
        <w:t xml:space="preserve">         202</w:t>
      </w:r>
      <w:r>
        <w:rPr>
          <w:rFonts w:eastAsia="黑体"/>
          <w:sz w:val="28"/>
        </w:rPr>
        <w:t>×-××-××实施</w:t>
      </w:r>
    </w:p>
    <w:p>
      <w:pPr>
        <w:pStyle w:val="73"/>
        <w:framePr w:w="0" w:hRule="auto" w:hSpace="0" w:vSpace="0" w:wrap="auto" w:vAnchor="margin" w:hAnchor="text" w:xAlign="left" w:yAlign="inline"/>
        <w:rPr>
          <w:rFonts w:ascii="Times New Roman"/>
          <w:w w:val="110"/>
          <w:sz w:val="44"/>
          <w:szCs w:val="44"/>
        </w:rPr>
        <w:sectPr>
          <w:footerReference r:id="rId3" w:type="default"/>
          <w:footerReference r:id="rId4" w:type="even"/>
          <w:pgSz w:w="11906" w:h="16838"/>
          <w:pgMar w:top="1474" w:right="1134" w:bottom="1474" w:left="1474" w:header="851" w:footer="992" w:gutter="0"/>
          <w:pgNumType w:start="1"/>
          <w:cols w:space="720" w:num="1"/>
          <w:docGrid w:type="lines" w:linePitch="312" w:charSpace="0"/>
        </w:sectPr>
      </w:pPr>
      <w:r>
        <w:rPr>
          <w:rFonts w:hint="eastAsia" w:ascii="Times New Roman"/>
          <w:spacing w:val="60"/>
          <w:w w:val="100"/>
          <w:sz w:val="44"/>
          <w:szCs w:val="44"/>
        </w:rPr>
        <w:t>国家市场监督管理总局</w:t>
      </w:r>
      <w:r>
        <w:rPr>
          <w:rFonts w:ascii="Times New Roman" w:eastAsia="黑体"/>
          <w:b w:val="0"/>
          <w:w w:val="110"/>
          <w:sz w:val="28"/>
          <w:szCs w:val="28"/>
        </w:rPr>
        <w:t>　发布</w:t>
      </w:r>
    </w:p>
    <w:p>
      <w:pPr>
        <w:framePr w:w="2521" w:h="1381" w:hSpace="180" w:wrap="around" w:vAnchor="text" w:hAnchor="page" w:x="7841" w:y="222"/>
        <w:pBdr>
          <w:top w:val="single" w:color="auto" w:sz="6" w:space="1"/>
          <w:left w:val="single" w:color="auto" w:sz="6" w:space="1"/>
          <w:bottom w:val="single" w:color="auto" w:sz="6" w:space="1"/>
          <w:right w:val="single" w:color="auto" w:sz="6" w:space="1"/>
        </w:pBdr>
        <w:spacing w:line="400" w:lineRule="exact"/>
        <w:jc w:val="center"/>
        <w:rPr>
          <w:sz w:val="28"/>
          <w:szCs w:val="28"/>
        </w:rPr>
      </w:pPr>
      <w:r>
        <w:rPr>
          <w:rFonts w:hint="eastAsia"/>
          <w:sz w:val="28"/>
          <w:szCs w:val="28"/>
        </w:rPr>
        <w:t>JJF</w:t>
      </w:r>
      <w:r>
        <w:rPr>
          <w:sz w:val="28"/>
        </w:rPr>
        <w:t>××××</w:t>
      </w:r>
      <w:r>
        <w:rPr>
          <w:sz w:val="28"/>
          <w:szCs w:val="28"/>
        </w:rPr>
        <w:t>—</w:t>
      </w:r>
      <w:r>
        <w:rPr>
          <w:rFonts w:hint="eastAsia"/>
          <w:sz w:val="28"/>
          <w:szCs w:val="28"/>
        </w:rPr>
        <w:t>202</w:t>
      </w:r>
      <w:r>
        <w:rPr>
          <w:sz w:val="28"/>
          <w:szCs w:val="28"/>
        </w:rPr>
        <w:t>×</w:t>
      </w:r>
    </w:p>
    <w:p>
      <w:pPr>
        <w:rPr>
          <w:rFonts w:eastAsia="黑体"/>
          <w:sz w:val="44"/>
          <w:szCs w:val="44"/>
        </w:rPr>
      </w:pPr>
      <w:r>
        <w:rPr>
          <w:rFonts w:hint="eastAsia" w:eastAsia="黑体"/>
          <w:sz w:val="44"/>
          <w:szCs w:val="44"/>
        </w:rPr>
        <w:t>试听室声学特性测试技术规范</w:t>
      </w:r>
    </w:p>
    <w:p>
      <w:pPr>
        <w:pStyle w:val="47"/>
        <w:snapToGrid w:val="0"/>
        <w:spacing w:before="120" w:line="360" w:lineRule="auto"/>
        <w:jc w:val="both"/>
        <w:rPr>
          <w:rFonts w:eastAsia="宋体"/>
          <w:b w:val="0"/>
          <w:szCs w:val="24"/>
        </w:rPr>
      </w:pPr>
      <w:r>
        <w:rPr>
          <w:rFonts w:hint="eastAsia" w:eastAsia="宋体"/>
          <w:b w:val="0"/>
          <w:szCs w:val="24"/>
        </w:rPr>
        <w:t xml:space="preserve">Measurement Specification for Acoustic Performance </w:t>
      </w:r>
    </w:p>
    <w:p>
      <w:pPr>
        <w:pStyle w:val="47"/>
        <w:snapToGrid w:val="0"/>
        <w:spacing w:before="120" w:line="360" w:lineRule="auto"/>
        <w:jc w:val="both"/>
        <w:rPr>
          <w:rFonts w:eastAsia="宋体"/>
          <w:b w:val="0"/>
          <w:szCs w:val="24"/>
        </w:rPr>
      </w:pPr>
      <w:r>
        <w:rPr>
          <w:rFonts w:hint="eastAsia" w:eastAsia="宋体"/>
          <w:b w:val="0"/>
          <w:szCs w:val="24"/>
        </w:rPr>
        <w:t>of Listening Test Rooms</w:t>
      </w:r>
    </w:p>
    <w:p>
      <w:pPr>
        <w:adjustRightInd w:val="0"/>
        <w:snapToGrid w:val="0"/>
        <w:spacing w:before="120" w:line="300" w:lineRule="auto"/>
        <w:jc w:val="left"/>
        <w:rPr>
          <w:sz w:val="32"/>
        </w:rPr>
      </w:pPr>
      <w:r>
        <w:pict>
          <v:line id="直线 258" o:spid="_x0000_s2052" o:spt="20" style="position:absolute;left:0pt;flip:y;margin-left:0pt;margin-top:2.35pt;height:0pt;width:462pt;z-index:251663360;mso-width-relative:page;mso-height-relative:page;" coordsize="21600,21600" o:allowincell="f" o:gfxdata="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GXjeF&#10;0gAAAAQBAAAPAAAAAAAAAAEAIAAAACIAAABkcnMvZG93bnJldi54bWxQSwECFAAUAAAACACHTuJA&#10;2G5Wpe4BAADqAwAADgAAAAAAAAABACAAAAAhAQAAZHJzL2Uyb0RvYy54bWxQSwUGAAAAAAYABgBZ&#10;AQAAgQUAAAAA&#10;">
            <v:path arrowok="t"/>
            <v:fill focussize="0,0"/>
            <v:stroke/>
            <v:imagedata o:title=""/>
            <o:lock v:ext="edit"/>
          </v:line>
        </w:pict>
      </w:r>
    </w:p>
    <w:p>
      <w:pPr>
        <w:rPr>
          <w:sz w:val="28"/>
        </w:rPr>
      </w:pPr>
    </w:p>
    <w:p>
      <w:pPr>
        <w:rPr>
          <w:sz w:val="28"/>
        </w:rPr>
      </w:pPr>
    </w:p>
    <w:p>
      <w:pPr>
        <w:rPr>
          <w:sz w:val="28"/>
        </w:rPr>
      </w:pPr>
    </w:p>
    <w:p>
      <w:pPr>
        <w:ind w:firstLine="570"/>
        <w:rPr>
          <w:sz w:val="28"/>
        </w:rPr>
      </w:pPr>
      <w:r>
        <w:rPr>
          <w:rFonts w:hAnsi="黑体" w:eastAsia="黑体"/>
          <w:spacing w:val="80"/>
          <w:sz w:val="28"/>
        </w:rPr>
        <w:t>归口单位</w:t>
      </w:r>
      <w:r>
        <w:rPr>
          <w:rFonts w:hAnsi="黑体" w:eastAsia="黑体"/>
          <w:sz w:val="28"/>
        </w:rPr>
        <w:t>：</w:t>
      </w:r>
      <w:r>
        <w:rPr>
          <w:sz w:val="28"/>
        </w:rPr>
        <w:t>全国声学计量技术委员会</w:t>
      </w:r>
    </w:p>
    <w:p>
      <w:pPr>
        <w:ind w:firstLine="570"/>
        <w:rPr>
          <w:rFonts w:hAnsi="黑体" w:eastAsia="黑体"/>
          <w:sz w:val="28"/>
        </w:rPr>
      </w:pPr>
      <w:r>
        <w:rPr>
          <w:rFonts w:hint="eastAsia" w:hAnsi="黑体" w:eastAsia="黑体"/>
          <w:spacing w:val="80"/>
          <w:sz w:val="28"/>
        </w:rPr>
        <w:t>主要</w:t>
      </w:r>
      <w:r>
        <w:rPr>
          <w:rFonts w:hAnsi="黑体" w:eastAsia="黑体"/>
          <w:spacing w:val="80"/>
          <w:sz w:val="28"/>
        </w:rPr>
        <w:t>起草单位</w:t>
      </w:r>
      <w:r>
        <w:rPr>
          <w:rFonts w:hAnsi="黑体" w:eastAsia="黑体"/>
          <w:sz w:val="28"/>
        </w:rPr>
        <w:t>：</w:t>
      </w:r>
    </w:p>
    <w:p>
      <w:pPr>
        <w:ind w:left="2096" w:firstLine="570"/>
        <w:rPr>
          <w:sz w:val="28"/>
        </w:rPr>
      </w:pPr>
      <w:r>
        <w:rPr>
          <w:rFonts w:hint="eastAsia"/>
          <w:sz w:val="28"/>
        </w:rPr>
        <w:t>广东省</w:t>
      </w:r>
      <w:r>
        <w:rPr>
          <w:sz w:val="28"/>
        </w:rPr>
        <w:t>计量科学研究院</w:t>
      </w:r>
    </w:p>
    <w:p>
      <w:pPr>
        <w:ind w:firstLine="2665" w:firstLineChars="952"/>
        <w:rPr>
          <w:sz w:val="28"/>
        </w:rPr>
      </w:pPr>
      <w:r>
        <w:rPr>
          <w:rFonts w:hint="eastAsia"/>
          <w:sz w:val="28"/>
        </w:rPr>
        <w:t>中国计量科学研究院</w:t>
      </w:r>
    </w:p>
    <w:p>
      <w:pPr>
        <w:ind w:firstLine="2665" w:firstLineChars="952"/>
        <w:rPr>
          <w:sz w:val="28"/>
        </w:rPr>
      </w:pPr>
      <w:r>
        <w:rPr>
          <w:rFonts w:hint="eastAsia"/>
          <w:sz w:val="28"/>
        </w:rPr>
        <w:t>广州计量检测技术研究院</w:t>
      </w:r>
    </w:p>
    <w:p>
      <w:pPr>
        <w:ind w:firstLine="570"/>
        <w:rPr>
          <w:rFonts w:hAnsi="黑体" w:eastAsia="黑体"/>
          <w:sz w:val="28"/>
        </w:rPr>
      </w:pPr>
      <w:r>
        <w:rPr>
          <w:rFonts w:hint="eastAsia" w:hAnsi="黑体" w:eastAsia="黑体"/>
          <w:spacing w:val="80"/>
          <w:sz w:val="28"/>
        </w:rPr>
        <w:t>参加</w:t>
      </w:r>
      <w:r>
        <w:rPr>
          <w:rFonts w:hAnsi="黑体" w:eastAsia="黑体"/>
          <w:spacing w:val="80"/>
          <w:sz w:val="28"/>
        </w:rPr>
        <w:t>起草单位</w:t>
      </w:r>
      <w:r>
        <w:rPr>
          <w:rFonts w:hAnsi="黑体" w:eastAsia="黑体"/>
          <w:sz w:val="28"/>
        </w:rPr>
        <w:t>：</w:t>
      </w:r>
    </w:p>
    <w:p>
      <w:pPr>
        <w:tabs>
          <w:tab w:val="left" w:pos="2673"/>
        </w:tabs>
        <w:rPr>
          <w:sz w:val="28"/>
        </w:rPr>
      </w:pPr>
      <w:r>
        <w:rPr>
          <w:rFonts w:hint="eastAsia"/>
          <w:sz w:val="28"/>
        </w:rPr>
        <w:tab/>
      </w:r>
      <w:r>
        <w:rPr>
          <w:rFonts w:hint="eastAsia"/>
          <w:sz w:val="28"/>
        </w:rPr>
        <w:t>北京朗德科技有限公司</w:t>
      </w:r>
    </w:p>
    <w:p>
      <w:pPr>
        <w:tabs>
          <w:tab w:val="left" w:pos="2657"/>
        </w:tabs>
        <w:rPr>
          <w:sz w:val="28"/>
        </w:rPr>
      </w:pPr>
      <w:r>
        <w:rPr>
          <w:rFonts w:hint="eastAsia"/>
          <w:sz w:val="28"/>
        </w:rPr>
        <w:tab/>
      </w:r>
      <w:r>
        <w:rPr>
          <w:rFonts w:hint="eastAsia"/>
          <w:sz w:val="28"/>
        </w:rPr>
        <w:t>东莞同瀚测控技术有限公司</w:t>
      </w:r>
    </w:p>
    <w:p>
      <w:pPr>
        <w:rPr>
          <w:sz w:val="28"/>
        </w:rPr>
      </w:pPr>
    </w:p>
    <w:p>
      <w:pPr>
        <w:rPr>
          <w:sz w:val="28"/>
        </w:rPr>
      </w:pPr>
    </w:p>
    <w:p>
      <w:pPr>
        <w:rPr>
          <w:sz w:val="28"/>
        </w:rPr>
      </w:pPr>
    </w:p>
    <w:p>
      <w:pPr>
        <w:rPr>
          <w:sz w:val="28"/>
        </w:rPr>
      </w:pPr>
    </w:p>
    <w:p>
      <w:pPr>
        <w:rPr>
          <w:sz w:val="28"/>
        </w:rPr>
      </w:pPr>
    </w:p>
    <w:p>
      <w:pPr>
        <w:ind w:firstLine="570"/>
        <w:rPr>
          <w:rFonts w:hAnsi="黑体" w:eastAsia="黑体"/>
          <w:sz w:val="28"/>
        </w:rPr>
      </w:pPr>
      <w:r>
        <w:rPr>
          <w:sz w:val="28"/>
        </w:rPr>
        <w:t>本</w:t>
      </w:r>
      <w:r>
        <w:rPr>
          <w:rFonts w:hint="eastAsia"/>
          <w:sz w:val="28"/>
        </w:rPr>
        <w:t>规范</w:t>
      </w:r>
      <w:r>
        <w:rPr>
          <w:sz w:val="28"/>
        </w:rPr>
        <w:t>委托全国声学计量技术委员会负责解释</w:t>
      </w:r>
    </w:p>
    <w:p>
      <w:pPr>
        <w:spacing w:line="360" w:lineRule="auto"/>
        <w:rPr>
          <w:rFonts w:hAnsi="黑体" w:eastAsia="黑体"/>
          <w:sz w:val="28"/>
        </w:rPr>
      </w:pPr>
    </w:p>
    <w:p>
      <w:pPr>
        <w:spacing w:line="360" w:lineRule="auto"/>
        <w:rPr>
          <w:rFonts w:hAnsi="黑体" w:eastAsia="黑体"/>
          <w:sz w:val="28"/>
        </w:rPr>
      </w:pPr>
    </w:p>
    <w:p>
      <w:pPr>
        <w:spacing w:line="360" w:lineRule="auto"/>
        <w:rPr>
          <w:rFonts w:hAnsi="黑体" w:eastAsia="黑体"/>
          <w:sz w:val="28"/>
        </w:rPr>
      </w:pPr>
    </w:p>
    <w:p>
      <w:pPr>
        <w:spacing w:line="360" w:lineRule="auto"/>
        <w:rPr>
          <w:rFonts w:eastAsia="黑体"/>
          <w:sz w:val="28"/>
        </w:rPr>
      </w:pPr>
      <w:r>
        <w:rPr>
          <w:rFonts w:hAnsi="黑体" w:eastAsia="黑体"/>
          <w:sz w:val="28"/>
        </w:rPr>
        <w:t>本</w:t>
      </w:r>
      <w:r>
        <w:rPr>
          <w:rFonts w:hint="eastAsia" w:hAnsi="黑体" w:eastAsia="黑体"/>
          <w:sz w:val="28"/>
        </w:rPr>
        <w:t>规范</w:t>
      </w:r>
      <w:r>
        <w:rPr>
          <w:rFonts w:hAnsi="黑体" w:eastAsia="黑体"/>
          <w:sz w:val="28"/>
        </w:rPr>
        <w:t>主要起草人：</w:t>
      </w:r>
    </w:p>
    <w:p>
      <w:pPr>
        <w:spacing w:line="360" w:lineRule="auto"/>
        <w:ind w:firstLine="1405" w:firstLineChars="502"/>
        <w:rPr>
          <w:sz w:val="28"/>
        </w:rPr>
      </w:pPr>
      <w:r>
        <w:rPr>
          <w:rFonts w:hint="eastAsia"/>
          <w:sz w:val="28"/>
        </w:rPr>
        <w:t>李广智</w:t>
      </w:r>
      <w:r>
        <w:rPr>
          <w:sz w:val="28"/>
        </w:rPr>
        <w:t>（广东省计量科学研究院）</w:t>
      </w:r>
    </w:p>
    <w:p>
      <w:pPr>
        <w:spacing w:line="360" w:lineRule="auto"/>
        <w:ind w:firstLine="1405" w:firstLineChars="502"/>
        <w:rPr>
          <w:sz w:val="28"/>
        </w:rPr>
      </w:pPr>
      <w:r>
        <w:rPr>
          <w:rFonts w:hint="eastAsia"/>
          <w:sz w:val="28"/>
        </w:rPr>
        <w:t>牛  锋（中国计量科学研究院）</w:t>
      </w:r>
    </w:p>
    <w:p>
      <w:pPr>
        <w:spacing w:line="360" w:lineRule="auto"/>
        <w:ind w:firstLine="1405" w:firstLineChars="502"/>
        <w:rPr>
          <w:sz w:val="28"/>
        </w:rPr>
      </w:pPr>
      <w:r>
        <w:rPr>
          <w:rFonts w:hint="eastAsia"/>
          <w:sz w:val="28"/>
        </w:rPr>
        <w:t>陈沈理（广东省计量科学研究院）</w:t>
      </w:r>
    </w:p>
    <w:p>
      <w:pPr>
        <w:spacing w:line="360" w:lineRule="auto"/>
        <w:ind w:firstLine="1405" w:firstLineChars="502"/>
        <w:rPr>
          <w:sz w:val="28"/>
        </w:rPr>
      </w:pPr>
      <w:r>
        <w:rPr>
          <w:rFonts w:hint="eastAsia"/>
          <w:sz w:val="28"/>
        </w:rPr>
        <w:t>周长华（广州计量检测技术研究院）</w:t>
      </w:r>
    </w:p>
    <w:p>
      <w:pPr>
        <w:spacing w:line="360" w:lineRule="auto"/>
        <w:ind w:firstLine="980" w:firstLineChars="350"/>
        <w:rPr>
          <w:sz w:val="28"/>
        </w:rPr>
      </w:pPr>
      <w:r>
        <w:rPr>
          <w:rFonts w:hAnsi="黑体" w:eastAsia="黑体"/>
          <w:sz w:val="28"/>
        </w:rPr>
        <w:t>参加起草人：</w:t>
      </w:r>
    </w:p>
    <w:p>
      <w:pPr>
        <w:spacing w:line="360" w:lineRule="auto"/>
        <w:ind w:firstLine="1405" w:firstLineChars="502"/>
        <w:rPr>
          <w:sz w:val="28"/>
        </w:rPr>
      </w:pPr>
      <w:r>
        <w:rPr>
          <w:rFonts w:hint="eastAsia"/>
          <w:sz w:val="28"/>
        </w:rPr>
        <w:t>杨德俊（广东省计量科学研究院）</w:t>
      </w:r>
    </w:p>
    <w:p>
      <w:pPr>
        <w:spacing w:line="360" w:lineRule="auto"/>
        <w:ind w:firstLine="1405" w:firstLineChars="502"/>
        <w:rPr>
          <w:sz w:val="28"/>
        </w:rPr>
      </w:pPr>
      <w:r>
        <w:rPr>
          <w:rFonts w:hint="eastAsia"/>
          <w:sz w:val="28"/>
        </w:rPr>
        <w:t>刘海波（北京朗德科技有限公司）</w:t>
      </w:r>
    </w:p>
    <w:p>
      <w:pPr>
        <w:spacing w:line="360" w:lineRule="auto"/>
        <w:ind w:firstLine="1405" w:firstLineChars="502"/>
        <w:rPr>
          <w:sz w:val="28"/>
        </w:rPr>
      </w:pPr>
      <w:r>
        <w:rPr>
          <w:sz w:val="28"/>
        </w:rPr>
        <w:t>黄雅璇</w:t>
      </w:r>
      <w:r>
        <w:rPr>
          <w:rFonts w:hint="eastAsia"/>
          <w:sz w:val="28"/>
        </w:rPr>
        <w:t>（</w:t>
      </w:r>
      <w:r>
        <w:rPr>
          <w:sz w:val="28"/>
        </w:rPr>
        <w:t>东莞同瀚测控技术有限公司</w:t>
      </w:r>
      <w:r>
        <w:rPr>
          <w:rFonts w:hint="eastAsia"/>
          <w:sz w:val="28"/>
        </w:rPr>
        <w:t>）</w:t>
      </w:r>
    </w:p>
    <w:p>
      <w:pPr>
        <w:spacing w:line="360" w:lineRule="auto"/>
        <w:ind w:firstLine="1405" w:firstLineChars="502"/>
        <w:rPr>
          <w:sz w:val="28"/>
        </w:rPr>
      </w:pPr>
    </w:p>
    <w:p>
      <w:pPr>
        <w:spacing w:line="360" w:lineRule="auto"/>
        <w:ind w:firstLine="1405" w:firstLineChars="502"/>
        <w:rPr>
          <w:sz w:val="28"/>
        </w:rPr>
      </w:pPr>
    </w:p>
    <w:p>
      <w:pPr>
        <w:spacing w:beforeLines="100" w:afterLines="100"/>
        <w:jc w:val="center"/>
        <w:rPr>
          <w:rFonts w:eastAsia="黑体"/>
          <w:sz w:val="44"/>
          <w:szCs w:val="44"/>
        </w:rPr>
        <w:sectPr>
          <w:headerReference r:id="rId5" w:type="default"/>
          <w:footerReference r:id="rId6" w:type="default"/>
          <w:pgSz w:w="11906" w:h="16838"/>
          <w:pgMar w:top="1474" w:right="1134" w:bottom="1474" w:left="1474" w:header="851" w:footer="992" w:gutter="0"/>
          <w:pgNumType w:fmt="upperRoman" w:start="1"/>
          <w:cols w:space="720" w:num="1"/>
          <w:docGrid w:type="lines" w:linePitch="312" w:charSpace="0"/>
        </w:sectPr>
      </w:pPr>
    </w:p>
    <w:p>
      <w:pPr>
        <w:spacing w:beforeLines="100" w:afterLines="100"/>
        <w:jc w:val="center"/>
        <w:rPr>
          <w:rFonts w:eastAsia="黑体"/>
          <w:sz w:val="44"/>
          <w:szCs w:val="44"/>
        </w:rPr>
      </w:pPr>
    </w:p>
    <w:p>
      <w:pPr>
        <w:spacing w:beforeLines="100" w:afterLines="100"/>
        <w:jc w:val="center"/>
        <w:rPr>
          <w:rFonts w:eastAsia="黑体"/>
          <w:sz w:val="44"/>
          <w:szCs w:val="44"/>
        </w:rPr>
      </w:pPr>
      <w:r>
        <w:rPr>
          <w:rFonts w:eastAsia="黑体"/>
          <w:sz w:val="44"/>
          <w:szCs w:val="44"/>
        </w:rPr>
        <w:t>目　　录</w:t>
      </w:r>
    </w:p>
    <w:p>
      <w:pPr>
        <w:pStyle w:val="18"/>
        <w:tabs>
          <w:tab w:val="right" w:leader="dot" w:pos="9298"/>
          <w:tab w:val="clear" w:pos="9345"/>
        </w:tabs>
        <w:rPr>
          <w:sz w:val="24"/>
        </w:rPr>
      </w:pPr>
      <w:r>
        <w:rPr>
          <w:rStyle w:val="33"/>
        </w:rPr>
        <w:fldChar w:fldCharType="begin"/>
      </w:r>
      <w:r>
        <w:rPr>
          <w:rStyle w:val="33"/>
          <w:sz w:val="24"/>
        </w:rPr>
        <w:instrText xml:space="preserve"> TOC \o "1-2" \h \z \u </w:instrText>
      </w:r>
      <w:r>
        <w:rPr>
          <w:rStyle w:val="33"/>
        </w:rPr>
        <w:fldChar w:fldCharType="separate"/>
      </w:r>
      <w:r>
        <w:fldChar w:fldCharType="begin"/>
      </w:r>
      <w:r>
        <w:instrText xml:space="preserve"> HYPERLINK \l "_Toc29218" </w:instrText>
      </w:r>
      <w:r>
        <w:fldChar w:fldCharType="separate"/>
      </w:r>
      <w:r>
        <w:rPr>
          <w:sz w:val="24"/>
        </w:rPr>
        <w:t>引    言</w:t>
      </w:r>
      <w:r>
        <w:rPr>
          <w:sz w:val="24"/>
        </w:rPr>
        <w:tab/>
      </w:r>
      <w:r>
        <w:rPr>
          <w:sz w:val="24"/>
        </w:rPr>
        <w:fldChar w:fldCharType="begin"/>
      </w:r>
      <w:r>
        <w:rPr>
          <w:sz w:val="24"/>
        </w:rPr>
        <w:instrText xml:space="preserve"> PAGEREF _Toc29218 \h </w:instrText>
      </w:r>
      <w:r>
        <w:rPr>
          <w:sz w:val="24"/>
        </w:rPr>
        <w:fldChar w:fldCharType="separate"/>
      </w:r>
      <w:r>
        <w:rPr>
          <w:sz w:val="24"/>
        </w:rPr>
        <w:t>II</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"_Toc15067" </w:instrText>
      </w:r>
      <w:r>
        <w:fldChar w:fldCharType="separate"/>
      </w:r>
      <w:r>
        <w:rPr>
          <w:sz w:val="24"/>
        </w:rPr>
        <w:t>1 范围</w:t>
      </w:r>
      <w:r>
        <w:rPr>
          <w:sz w:val="24"/>
        </w:rPr>
        <w:tab/>
      </w:r>
      <w:r>
        <w:rPr>
          <w:sz w:val="24"/>
        </w:rPr>
        <w:fldChar w:fldCharType="begin"/>
      </w:r>
      <w:r>
        <w:rPr>
          <w:sz w:val="24"/>
        </w:rPr>
        <w:instrText xml:space="preserve"> PAGEREF _Toc15067 \h </w:instrText>
      </w:r>
      <w:r>
        <w:rPr>
          <w:sz w:val="24"/>
        </w:rPr>
        <w:fldChar w:fldCharType="separate"/>
      </w:r>
      <w:r>
        <w:rPr>
          <w:sz w:val="24"/>
        </w:rPr>
        <w:t>1</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"_Toc12921" </w:instrText>
      </w:r>
      <w:r>
        <w:fldChar w:fldCharType="separate"/>
      </w:r>
      <w:r>
        <w:rPr>
          <w:sz w:val="24"/>
        </w:rPr>
        <w:t>2 引用文件</w:t>
      </w:r>
      <w:r>
        <w:rPr>
          <w:sz w:val="24"/>
        </w:rPr>
        <w:tab/>
      </w:r>
      <w:r>
        <w:rPr>
          <w:sz w:val="24"/>
        </w:rPr>
        <w:fldChar w:fldCharType="begin"/>
      </w:r>
      <w:r>
        <w:rPr>
          <w:sz w:val="24"/>
        </w:rPr>
        <w:instrText xml:space="preserve"> PAGEREF _Toc12921 \h </w:instrText>
      </w:r>
      <w:r>
        <w:rPr>
          <w:sz w:val="24"/>
        </w:rPr>
        <w:fldChar w:fldCharType="separate"/>
      </w:r>
      <w:r>
        <w:rPr>
          <w:sz w:val="24"/>
        </w:rPr>
        <w:t>1</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"_Toc24947" </w:instrText>
      </w:r>
      <w:r>
        <w:fldChar w:fldCharType="separate"/>
      </w:r>
      <w:r>
        <w:rPr>
          <w:sz w:val="24"/>
        </w:rPr>
        <w:t>3 术语和计量单位</w:t>
      </w:r>
      <w:r>
        <w:rPr>
          <w:sz w:val="24"/>
        </w:rPr>
        <w:tab/>
      </w:r>
      <w:r>
        <w:rPr>
          <w:sz w:val="24"/>
        </w:rPr>
        <w:fldChar w:fldCharType="begin"/>
      </w:r>
      <w:r>
        <w:rPr>
          <w:sz w:val="24"/>
        </w:rPr>
        <w:instrText xml:space="preserve"> PAGEREF _Toc24947 \h </w:instrText>
      </w:r>
      <w:r>
        <w:rPr>
          <w:sz w:val="24"/>
        </w:rPr>
        <w:fldChar w:fldCharType="separate"/>
      </w:r>
      <w:r>
        <w:rPr>
          <w:sz w:val="24"/>
        </w:rPr>
        <w:t>1</w:t>
      </w:r>
      <w:r>
        <w:rPr>
          <w:sz w:val="24"/>
        </w:rPr>
        <w:fldChar w:fldCharType="end"/>
      </w:r>
      <w:r>
        <w:rPr>
          <w:sz w:val="24"/>
        </w:rPr>
        <w:fldChar w:fldCharType="end"/>
      </w:r>
    </w:p>
    <w:p>
      <w:pPr>
        <w:pStyle w:val="22"/>
        <w:tabs>
          <w:tab w:val="right" w:leader="dot" w:pos="9298"/>
          <w:tab w:val="clear" w:pos="600"/>
          <w:tab w:val="clear" w:pos="9345"/>
        </w:tabs>
      </w:pPr>
      <w:r>
        <w:fldChar w:fldCharType="begin"/>
      </w:r>
      <w:r>
        <w:instrText xml:space="preserve"> HYPERLINK \l "_Toc12663" </w:instrText>
      </w:r>
      <w:r>
        <w:fldChar w:fldCharType="separate"/>
      </w:r>
      <w:r>
        <w:t>3.1 计量单位</w:t>
      </w:r>
      <w:r>
        <w:tab/>
      </w:r>
      <w:r>
        <w:fldChar w:fldCharType="begin"/>
      </w:r>
      <w:r>
        <w:instrText xml:space="preserve"> PAGEREF _Toc12663 \h </w:instrText>
      </w:r>
      <w:r>
        <w:fldChar w:fldCharType="separate"/>
      </w:r>
      <w:r>
        <w:t>1</w:t>
      </w:r>
      <w:r>
        <w:fldChar w:fldCharType="end"/>
      </w:r>
      <w:r>
        <w:fldChar w:fldCharType="end"/>
      </w:r>
    </w:p>
    <w:p>
      <w:pPr>
        <w:pStyle w:val="22"/>
        <w:tabs>
          <w:tab w:val="right" w:leader="dot" w:pos="9298"/>
          <w:tab w:val="clear" w:pos="600"/>
          <w:tab w:val="clear" w:pos="9345"/>
        </w:tabs>
      </w:pPr>
      <w:r>
        <w:fldChar w:fldCharType="begin"/>
      </w:r>
      <w:r>
        <w:instrText xml:space="preserve"> HYPERLINK \l "_Toc3911" </w:instrText>
      </w:r>
      <w:r>
        <w:fldChar w:fldCharType="separate"/>
      </w:r>
      <w:r>
        <w:t>3.2 术语及定义</w:t>
      </w:r>
      <w:r>
        <w:tab/>
      </w:r>
      <w:r>
        <w:fldChar w:fldCharType="begin"/>
      </w:r>
      <w:r>
        <w:instrText xml:space="preserve"> PAGEREF _Toc3911 \h </w:instrText>
      </w:r>
      <w:r>
        <w:fldChar w:fldCharType="separate"/>
      </w:r>
      <w:r>
        <w:t>1</w:t>
      </w:r>
      <w:r>
        <w:fldChar w:fldCharType="end"/>
      </w:r>
      <w:r>
        <w:fldChar w:fldCharType="end"/>
      </w:r>
    </w:p>
    <w:p>
      <w:pPr>
        <w:pStyle w:val="18"/>
        <w:tabs>
          <w:tab w:val="right" w:leader="dot" w:pos="9298"/>
          <w:tab w:val="clear" w:pos="9345"/>
        </w:tabs>
        <w:rPr>
          <w:sz w:val="24"/>
        </w:rPr>
      </w:pPr>
      <w:r>
        <w:fldChar w:fldCharType="begin"/>
      </w:r>
      <w:r>
        <w:instrText xml:space="preserve"> HYPERLINK \l "_Toc7732" </w:instrText>
      </w:r>
      <w:r>
        <w:fldChar w:fldCharType="separate"/>
      </w:r>
      <w:r>
        <w:rPr>
          <w:sz w:val="24"/>
        </w:rPr>
        <w:t>4 概述</w:t>
      </w:r>
      <w:r>
        <w:rPr>
          <w:sz w:val="24"/>
        </w:rPr>
        <w:tab/>
      </w:r>
      <w:r>
        <w:rPr>
          <w:sz w:val="24"/>
        </w:rPr>
        <w:fldChar w:fldCharType="begin"/>
      </w:r>
      <w:r>
        <w:rPr>
          <w:sz w:val="24"/>
        </w:rPr>
        <w:instrText xml:space="preserve"> PAGEREF _Toc7732 \h </w:instrText>
      </w:r>
      <w:r>
        <w:rPr>
          <w:sz w:val="24"/>
        </w:rPr>
        <w:fldChar w:fldCharType="separate"/>
      </w:r>
      <w:r>
        <w:rPr>
          <w:sz w:val="24"/>
        </w:rPr>
        <w:t>2</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"_Toc646" </w:instrText>
      </w:r>
      <w:r>
        <w:fldChar w:fldCharType="separate"/>
      </w:r>
      <w:r>
        <w:rPr>
          <w:sz w:val="24"/>
        </w:rPr>
        <w:t>5 计量性能要求</w:t>
      </w:r>
      <w:r>
        <w:rPr>
          <w:sz w:val="24"/>
        </w:rPr>
        <w:tab/>
      </w:r>
      <w:r>
        <w:rPr>
          <w:sz w:val="24"/>
        </w:rPr>
        <w:fldChar w:fldCharType="begin"/>
      </w:r>
      <w:r>
        <w:rPr>
          <w:sz w:val="24"/>
        </w:rPr>
        <w:instrText xml:space="preserve"> PAGEREF _Toc646 \h </w:instrText>
      </w:r>
      <w:r>
        <w:rPr>
          <w:sz w:val="24"/>
        </w:rPr>
        <w:fldChar w:fldCharType="separate"/>
      </w:r>
      <w:r>
        <w:rPr>
          <w:sz w:val="24"/>
        </w:rPr>
        <w:t>2</w:t>
      </w:r>
      <w:r>
        <w:rPr>
          <w:sz w:val="24"/>
        </w:rPr>
        <w:fldChar w:fldCharType="end"/>
      </w:r>
      <w:r>
        <w:rPr>
          <w:sz w:val="24"/>
        </w:rPr>
        <w:fldChar w:fldCharType="end"/>
      </w:r>
    </w:p>
    <w:p>
      <w:pPr>
        <w:pStyle w:val="22"/>
        <w:tabs>
          <w:tab w:val="right" w:leader="dot" w:pos="9298"/>
          <w:tab w:val="clear" w:pos="600"/>
          <w:tab w:val="clear" w:pos="9345"/>
        </w:tabs>
      </w:pPr>
      <w:r>
        <w:fldChar w:fldCharType="begin"/>
      </w:r>
      <w:r>
        <w:instrText xml:space="preserve"> HYPERLINK \l "_Toc17329" </w:instrText>
      </w:r>
      <w:r>
        <w:fldChar w:fldCharType="separate"/>
      </w:r>
      <w:r>
        <w:t>5.1 混响时间</w:t>
      </w:r>
      <w:r>
        <w:tab/>
      </w:r>
      <w:r>
        <w:fldChar w:fldCharType="begin"/>
      </w:r>
      <w:r>
        <w:instrText xml:space="preserve"> PAGEREF _Toc17329 \h </w:instrText>
      </w:r>
      <w:r>
        <w:fldChar w:fldCharType="separate"/>
      </w:r>
      <w:r>
        <w:t>2</w:t>
      </w:r>
      <w:r>
        <w:fldChar w:fldCharType="end"/>
      </w:r>
      <w:r>
        <w:fldChar w:fldCharType="end"/>
      </w:r>
    </w:p>
    <w:p>
      <w:pPr>
        <w:pStyle w:val="22"/>
        <w:tabs>
          <w:tab w:val="right" w:leader="dot" w:pos="9298"/>
          <w:tab w:val="clear" w:pos="600"/>
          <w:tab w:val="clear" w:pos="9345"/>
        </w:tabs>
      </w:pPr>
      <w:r>
        <w:fldChar w:fldCharType="begin"/>
      </w:r>
      <w:r>
        <w:instrText xml:space="preserve"> HYPERLINK \l "_Toc4472" </w:instrText>
      </w:r>
      <w:r>
        <w:fldChar w:fldCharType="separate"/>
      </w:r>
      <w:r>
        <w:t>5.2 声压级均匀性</w:t>
      </w:r>
      <w:r>
        <w:tab/>
      </w:r>
      <w:r>
        <w:fldChar w:fldCharType="begin"/>
      </w:r>
      <w:r>
        <w:instrText xml:space="preserve"> PAGEREF _Toc4472 \h </w:instrText>
      </w:r>
      <w:r>
        <w:fldChar w:fldCharType="separate"/>
      </w:r>
      <w:r>
        <w:t>2</w:t>
      </w:r>
      <w:r>
        <w:fldChar w:fldCharType="end"/>
      </w:r>
      <w:r>
        <w:fldChar w:fldCharType="end"/>
      </w:r>
    </w:p>
    <w:p>
      <w:pPr>
        <w:pStyle w:val="22"/>
        <w:tabs>
          <w:tab w:val="right" w:leader="dot" w:pos="9298"/>
          <w:tab w:val="clear" w:pos="600"/>
          <w:tab w:val="clear" w:pos="9345"/>
        </w:tabs>
      </w:pPr>
      <w:r>
        <w:fldChar w:fldCharType="begin"/>
      </w:r>
      <w:r>
        <w:instrText xml:space="preserve"> HYPERLINK \l "_Toc8510" </w:instrText>
      </w:r>
      <w:r>
        <w:fldChar w:fldCharType="separate"/>
      </w:r>
      <w:r>
        <w:t>5.3 背景噪声</w:t>
      </w:r>
      <w:r>
        <w:tab/>
      </w:r>
      <w:r>
        <w:fldChar w:fldCharType="begin"/>
      </w:r>
      <w:r>
        <w:instrText xml:space="preserve"> PAGEREF _Toc8510 \h </w:instrText>
      </w:r>
      <w:r>
        <w:fldChar w:fldCharType="separate"/>
      </w:r>
      <w:r>
        <w:t>3</w:t>
      </w:r>
      <w:r>
        <w:fldChar w:fldCharType="end"/>
      </w:r>
      <w:r>
        <w:fldChar w:fldCharType="end"/>
      </w:r>
    </w:p>
    <w:p>
      <w:pPr>
        <w:pStyle w:val="22"/>
        <w:tabs>
          <w:tab w:val="right" w:leader="dot" w:pos="9298"/>
          <w:tab w:val="clear" w:pos="600"/>
          <w:tab w:val="clear" w:pos="9345"/>
        </w:tabs>
      </w:pPr>
      <w:r>
        <w:fldChar w:fldCharType="begin"/>
      </w:r>
      <w:r>
        <w:instrText xml:space="preserve"> HYPERLINK \l "_Toc16328" </w:instrText>
      </w:r>
      <w:r>
        <w:fldChar w:fldCharType="separate"/>
      </w:r>
      <w:r>
        <w:t>5.4 隔声性能</w:t>
      </w:r>
      <w:r>
        <w:tab/>
      </w:r>
      <w:r>
        <w:fldChar w:fldCharType="begin"/>
      </w:r>
      <w:r>
        <w:instrText xml:space="preserve"> PAGEREF _Toc16328 \h </w:instrText>
      </w:r>
      <w:r>
        <w:fldChar w:fldCharType="separate"/>
      </w:r>
      <w:r>
        <w:t>3</w:t>
      </w:r>
      <w:r>
        <w:fldChar w:fldCharType="end"/>
      </w:r>
      <w:r>
        <w:fldChar w:fldCharType="end"/>
      </w:r>
    </w:p>
    <w:p>
      <w:pPr>
        <w:pStyle w:val="22"/>
        <w:tabs>
          <w:tab w:val="right" w:leader="dot" w:pos="9298"/>
          <w:tab w:val="clear" w:pos="600"/>
          <w:tab w:val="clear" w:pos="9345"/>
        </w:tabs>
      </w:pPr>
      <w:r>
        <w:fldChar w:fldCharType="begin"/>
      </w:r>
      <w:r>
        <w:instrText xml:space="preserve"> HYPERLINK \l "_Toc3852" </w:instrText>
      </w:r>
      <w:r>
        <w:fldChar w:fldCharType="separate"/>
      </w:r>
      <w:r>
        <w:t>5.5 撞击声压级</w:t>
      </w:r>
      <w:r>
        <w:tab/>
      </w:r>
      <w:r>
        <w:fldChar w:fldCharType="begin"/>
      </w:r>
      <w:r>
        <w:instrText xml:space="preserve"> PAGEREF _Toc3852 \h </w:instrText>
      </w:r>
      <w:r>
        <w:fldChar w:fldCharType="separate"/>
      </w:r>
      <w:r>
        <w:t>3</w:t>
      </w:r>
      <w:r>
        <w:fldChar w:fldCharType="end"/>
      </w:r>
      <w:r>
        <w:fldChar w:fldCharType="end"/>
      </w:r>
    </w:p>
    <w:p>
      <w:pPr>
        <w:pStyle w:val="18"/>
        <w:tabs>
          <w:tab w:val="right" w:leader="dot" w:pos="9298"/>
          <w:tab w:val="clear" w:pos="9345"/>
        </w:tabs>
        <w:rPr>
          <w:sz w:val="24"/>
        </w:rPr>
      </w:pPr>
      <w:r>
        <w:fldChar w:fldCharType="begin"/>
      </w:r>
      <w:r>
        <w:instrText xml:space="preserve"> HYPERLINK \l "_Toc9036" </w:instrText>
      </w:r>
      <w:r>
        <w:fldChar w:fldCharType="separate"/>
      </w:r>
      <w:r>
        <w:rPr>
          <w:sz w:val="24"/>
        </w:rPr>
        <w:t>6 测试条件</w:t>
      </w:r>
      <w:r>
        <w:rPr>
          <w:sz w:val="24"/>
        </w:rPr>
        <w:tab/>
      </w:r>
      <w:r>
        <w:rPr>
          <w:sz w:val="24"/>
        </w:rPr>
        <w:fldChar w:fldCharType="begin"/>
      </w:r>
      <w:r>
        <w:rPr>
          <w:sz w:val="24"/>
        </w:rPr>
        <w:instrText xml:space="preserve"> PAGEREF _Toc9036 \h </w:instrText>
      </w:r>
      <w:r>
        <w:rPr>
          <w:sz w:val="24"/>
        </w:rPr>
        <w:fldChar w:fldCharType="separate"/>
      </w:r>
      <w:r>
        <w:rPr>
          <w:sz w:val="24"/>
        </w:rPr>
        <w:t>3</w:t>
      </w:r>
      <w:r>
        <w:rPr>
          <w:sz w:val="24"/>
        </w:rPr>
        <w:fldChar w:fldCharType="end"/>
      </w:r>
      <w:r>
        <w:rPr>
          <w:sz w:val="24"/>
        </w:rPr>
        <w:fldChar w:fldCharType="end"/>
      </w:r>
    </w:p>
    <w:p>
      <w:pPr>
        <w:pStyle w:val="22"/>
        <w:tabs>
          <w:tab w:val="right" w:leader="dot" w:pos="9298"/>
          <w:tab w:val="clear" w:pos="600"/>
          <w:tab w:val="clear" w:pos="9345"/>
        </w:tabs>
      </w:pPr>
      <w:r>
        <w:fldChar w:fldCharType="begin"/>
      </w:r>
      <w:r>
        <w:instrText xml:space="preserve"> HYPERLINK \l "_Toc6227" </w:instrText>
      </w:r>
      <w:r>
        <w:fldChar w:fldCharType="separate"/>
      </w:r>
      <w:r>
        <w:t>6.1 环境条件</w:t>
      </w:r>
      <w:r>
        <w:tab/>
      </w:r>
      <w:r>
        <w:fldChar w:fldCharType="begin"/>
      </w:r>
      <w:r>
        <w:instrText xml:space="preserve"> PAGEREF _Toc6227 \h </w:instrText>
      </w:r>
      <w:r>
        <w:fldChar w:fldCharType="separate"/>
      </w:r>
      <w:r>
        <w:t>3</w:t>
      </w:r>
      <w:r>
        <w:fldChar w:fldCharType="end"/>
      </w:r>
      <w:r>
        <w:fldChar w:fldCharType="end"/>
      </w:r>
    </w:p>
    <w:p>
      <w:pPr>
        <w:pStyle w:val="22"/>
        <w:tabs>
          <w:tab w:val="right" w:leader="dot" w:pos="9298"/>
          <w:tab w:val="clear" w:pos="600"/>
          <w:tab w:val="clear" w:pos="9345"/>
        </w:tabs>
      </w:pPr>
      <w:r>
        <w:fldChar w:fldCharType="begin"/>
      </w:r>
      <w:r>
        <w:instrText xml:space="preserve"> HYPERLINK \l "_Toc15381" </w:instrText>
      </w:r>
      <w:r>
        <w:fldChar w:fldCharType="separate"/>
      </w:r>
      <w:r>
        <w:t>6.2 测量标准及其他设备</w:t>
      </w:r>
      <w:r>
        <w:tab/>
      </w:r>
      <w:r>
        <w:fldChar w:fldCharType="begin"/>
      </w:r>
      <w:r>
        <w:instrText xml:space="preserve"> PAGEREF _Toc15381 \h </w:instrText>
      </w:r>
      <w:r>
        <w:fldChar w:fldCharType="separate"/>
      </w:r>
      <w:r>
        <w:t>3</w:t>
      </w:r>
      <w:r>
        <w:fldChar w:fldCharType="end"/>
      </w:r>
      <w:r>
        <w:fldChar w:fldCharType="end"/>
      </w:r>
    </w:p>
    <w:p>
      <w:pPr>
        <w:pStyle w:val="18"/>
        <w:tabs>
          <w:tab w:val="right" w:leader="dot" w:pos="9298"/>
          <w:tab w:val="clear" w:pos="9345"/>
        </w:tabs>
        <w:rPr>
          <w:sz w:val="24"/>
        </w:rPr>
      </w:pPr>
      <w:r>
        <w:fldChar w:fldCharType="begin"/>
      </w:r>
      <w:r>
        <w:instrText xml:space="preserve"> HYPERLINK \l "_Toc16315" </w:instrText>
      </w:r>
      <w:r>
        <w:fldChar w:fldCharType="separate"/>
      </w:r>
      <w:r>
        <w:rPr>
          <w:sz w:val="24"/>
        </w:rPr>
        <w:t>7 测试项目和测试方法</w:t>
      </w:r>
      <w:r>
        <w:rPr>
          <w:sz w:val="24"/>
        </w:rPr>
        <w:tab/>
      </w:r>
      <w:r>
        <w:rPr>
          <w:sz w:val="24"/>
        </w:rPr>
        <w:fldChar w:fldCharType="begin"/>
      </w:r>
      <w:r>
        <w:rPr>
          <w:sz w:val="24"/>
        </w:rPr>
        <w:instrText xml:space="preserve"> PAGEREF _Toc16315 \h </w:instrText>
      </w:r>
      <w:r>
        <w:rPr>
          <w:sz w:val="24"/>
        </w:rPr>
        <w:fldChar w:fldCharType="separate"/>
      </w:r>
      <w:r>
        <w:rPr>
          <w:sz w:val="24"/>
        </w:rPr>
        <w:t>3</w:t>
      </w:r>
      <w:r>
        <w:rPr>
          <w:sz w:val="24"/>
        </w:rPr>
        <w:fldChar w:fldCharType="end"/>
      </w:r>
      <w:r>
        <w:rPr>
          <w:sz w:val="24"/>
        </w:rPr>
        <w:fldChar w:fldCharType="end"/>
      </w:r>
    </w:p>
    <w:p>
      <w:pPr>
        <w:pStyle w:val="22"/>
        <w:tabs>
          <w:tab w:val="right" w:leader="dot" w:pos="9298"/>
          <w:tab w:val="clear" w:pos="600"/>
          <w:tab w:val="clear" w:pos="9345"/>
        </w:tabs>
      </w:pPr>
      <w:r>
        <w:fldChar w:fldCharType="begin"/>
      </w:r>
      <w:r>
        <w:instrText xml:space="preserve"> HYPERLINK \l "_Toc16825" </w:instrText>
      </w:r>
      <w:r>
        <w:fldChar w:fldCharType="separate"/>
      </w:r>
      <w:r>
        <w:t>7.1 测试项目</w:t>
      </w:r>
      <w:r>
        <w:tab/>
      </w:r>
      <w:r>
        <w:fldChar w:fldCharType="begin"/>
      </w:r>
      <w:r>
        <w:instrText xml:space="preserve"> PAGEREF _Toc16825 \h </w:instrText>
      </w:r>
      <w:r>
        <w:fldChar w:fldCharType="separate"/>
      </w:r>
      <w:r>
        <w:t>3</w:t>
      </w:r>
      <w:r>
        <w:fldChar w:fldCharType="end"/>
      </w:r>
      <w:r>
        <w:fldChar w:fldCharType="end"/>
      </w:r>
    </w:p>
    <w:p>
      <w:pPr>
        <w:pStyle w:val="22"/>
        <w:tabs>
          <w:tab w:val="right" w:leader="dot" w:pos="9298"/>
          <w:tab w:val="clear" w:pos="600"/>
          <w:tab w:val="clear" w:pos="9345"/>
        </w:tabs>
      </w:pPr>
      <w:r>
        <w:fldChar w:fldCharType="begin"/>
      </w:r>
      <w:r>
        <w:instrText xml:space="preserve"> HYPERLINK \l "_Toc18400" </w:instrText>
      </w:r>
      <w:r>
        <w:fldChar w:fldCharType="separate"/>
      </w:r>
      <w:r>
        <w:t>7.2 测试方法</w:t>
      </w:r>
      <w:r>
        <w:tab/>
      </w:r>
      <w:r>
        <w:fldChar w:fldCharType="begin"/>
      </w:r>
      <w:r>
        <w:instrText xml:space="preserve"> PAGEREF _Toc18400 \h </w:instrText>
      </w:r>
      <w:r>
        <w:fldChar w:fldCharType="separate"/>
      </w:r>
      <w:r>
        <w:t>3</w:t>
      </w:r>
      <w:r>
        <w:fldChar w:fldCharType="end"/>
      </w:r>
      <w:r>
        <w:fldChar w:fldCharType="end"/>
      </w:r>
    </w:p>
    <w:p>
      <w:pPr>
        <w:pStyle w:val="18"/>
        <w:tabs>
          <w:tab w:val="right" w:leader="dot" w:pos="9298"/>
          <w:tab w:val="clear" w:pos="9345"/>
        </w:tabs>
        <w:rPr>
          <w:sz w:val="24"/>
        </w:rPr>
      </w:pPr>
      <w:r>
        <w:fldChar w:fldCharType="begin"/>
      </w:r>
      <w:r>
        <w:instrText xml:space="preserve"> HYPERLINK \l "_Toc14394" </w:instrText>
      </w:r>
      <w:r>
        <w:fldChar w:fldCharType="separate"/>
      </w:r>
      <w:r>
        <w:rPr>
          <w:sz w:val="24"/>
        </w:rPr>
        <w:t>8 测试结果表达</w:t>
      </w:r>
      <w:r>
        <w:rPr>
          <w:sz w:val="24"/>
        </w:rPr>
        <w:tab/>
      </w:r>
      <w:r>
        <w:rPr>
          <w:sz w:val="24"/>
        </w:rPr>
        <w:fldChar w:fldCharType="begin"/>
      </w:r>
      <w:r>
        <w:rPr>
          <w:sz w:val="24"/>
        </w:rPr>
        <w:instrText xml:space="preserve"> PAGEREF _Toc14394 \h </w:instrText>
      </w:r>
      <w:r>
        <w:rPr>
          <w:sz w:val="24"/>
        </w:rPr>
        <w:fldChar w:fldCharType="separate"/>
      </w:r>
      <w:r>
        <w:rPr>
          <w:sz w:val="24"/>
        </w:rPr>
        <w:t>8</w:t>
      </w:r>
      <w:r>
        <w:rPr>
          <w:sz w:val="24"/>
        </w:rPr>
        <w:fldChar w:fldCharType="end"/>
      </w:r>
      <w:r>
        <w:rPr>
          <w:sz w:val="24"/>
        </w:rPr>
        <w:fldChar w:fldCharType="end"/>
      </w:r>
    </w:p>
    <w:p>
      <w:pPr>
        <w:pStyle w:val="22"/>
        <w:tabs>
          <w:tab w:val="right" w:leader="dot" w:pos="9298"/>
          <w:tab w:val="clear" w:pos="600"/>
          <w:tab w:val="clear" w:pos="9345"/>
        </w:tabs>
      </w:pPr>
      <w:r>
        <w:fldChar w:fldCharType="begin"/>
      </w:r>
      <w:r>
        <w:instrText xml:space="preserve"> HYPERLINK \l "_Toc10541" </w:instrText>
      </w:r>
      <w:r>
        <w:fldChar w:fldCharType="separate"/>
      </w:r>
      <w:r>
        <w:t>8.1 测试数据处理</w:t>
      </w:r>
      <w:r>
        <w:tab/>
      </w:r>
      <w:r>
        <w:fldChar w:fldCharType="begin"/>
      </w:r>
      <w:r>
        <w:instrText xml:space="preserve"> PAGEREF _Toc10541 \h </w:instrText>
      </w:r>
      <w:r>
        <w:fldChar w:fldCharType="separate"/>
      </w:r>
      <w:r>
        <w:t>8</w:t>
      </w:r>
      <w:r>
        <w:fldChar w:fldCharType="end"/>
      </w:r>
      <w:r>
        <w:fldChar w:fldCharType="end"/>
      </w:r>
    </w:p>
    <w:p>
      <w:pPr>
        <w:pStyle w:val="22"/>
        <w:tabs>
          <w:tab w:val="right" w:leader="dot" w:pos="9298"/>
          <w:tab w:val="clear" w:pos="600"/>
          <w:tab w:val="clear" w:pos="9345"/>
        </w:tabs>
      </w:pPr>
      <w:r>
        <w:fldChar w:fldCharType="begin"/>
      </w:r>
      <w:r>
        <w:instrText xml:space="preserve"> HYPERLINK \l "_Toc28930" </w:instrText>
      </w:r>
      <w:r>
        <w:fldChar w:fldCharType="separate"/>
      </w:r>
      <w:r>
        <w:t>8.2 测试证书</w:t>
      </w:r>
      <w:r>
        <w:tab/>
      </w:r>
      <w:r>
        <w:fldChar w:fldCharType="begin"/>
      </w:r>
      <w:r>
        <w:instrText xml:space="preserve"> PAGEREF _Toc28930 \h </w:instrText>
      </w:r>
      <w:r>
        <w:fldChar w:fldCharType="separate"/>
      </w:r>
      <w:r>
        <w:t>9</w:t>
      </w:r>
      <w:r>
        <w:fldChar w:fldCharType="end"/>
      </w:r>
      <w:r>
        <w:fldChar w:fldCharType="end"/>
      </w:r>
    </w:p>
    <w:p>
      <w:pPr>
        <w:pStyle w:val="22"/>
        <w:tabs>
          <w:tab w:val="right" w:leader="dot" w:pos="9298"/>
          <w:tab w:val="clear" w:pos="600"/>
          <w:tab w:val="clear" w:pos="9345"/>
        </w:tabs>
      </w:pPr>
      <w:r>
        <w:fldChar w:fldCharType="begin"/>
      </w:r>
      <w:r>
        <w:instrText xml:space="preserve"> HYPERLINK \l "_Toc26469" </w:instrText>
      </w:r>
      <w:r>
        <w:fldChar w:fldCharType="separate"/>
      </w:r>
      <w:r>
        <w:t>8.3 测试结果的测量不确定度</w:t>
      </w:r>
      <w:r>
        <w:tab/>
      </w:r>
      <w:r>
        <w:fldChar w:fldCharType="begin"/>
      </w:r>
      <w:r>
        <w:instrText xml:space="preserve"> PAGEREF _Toc26469 \h </w:instrText>
      </w:r>
      <w:r>
        <w:fldChar w:fldCharType="separate"/>
      </w:r>
      <w:r>
        <w:t>9</w:t>
      </w:r>
      <w:r>
        <w:fldChar w:fldCharType="end"/>
      </w:r>
      <w:r>
        <w:fldChar w:fldCharType="end"/>
      </w:r>
    </w:p>
    <w:p>
      <w:pPr>
        <w:pStyle w:val="18"/>
        <w:tabs>
          <w:tab w:val="right" w:leader="dot" w:pos="9298"/>
          <w:tab w:val="clear" w:pos="9345"/>
        </w:tabs>
        <w:rPr>
          <w:sz w:val="24"/>
        </w:rPr>
      </w:pPr>
      <w:r>
        <w:fldChar w:fldCharType="begin"/>
      </w:r>
      <w:r>
        <w:instrText xml:space="preserve"> HYPERLINK \l "_Toc194" </w:instrText>
      </w:r>
      <w:r>
        <w:fldChar w:fldCharType="separate"/>
      </w:r>
      <w:r>
        <w:rPr>
          <w:sz w:val="24"/>
        </w:rPr>
        <w:t>9 复校时间间隔</w:t>
      </w:r>
      <w:r>
        <w:rPr>
          <w:sz w:val="24"/>
        </w:rPr>
        <w:tab/>
      </w:r>
      <w:r>
        <w:rPr>
          <w:sz w:val="24"/>
        </w:rPr>
        <w:fldChar w:fldCharType="begin"/>
      </w:r>
      <w:r>
        <w:rPr>
          <w:sz w:val="24"/>
        </w:rPr>
        <w:instrText xml:space="preserve"> PAGEREF _Toc194 \h </w:instrText>
      </w:r>
      <w:r>
        <w:rPr>
          <w:sz w:val="24"/>
        </w:rPr>
        <w:fldChar w:fldCharType="separate"/>
      </w:r>
      <w:r>
        <w:rPr>
          <w:sz w:val="24"/>
        </w:rPr>
        <w:t>9</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"_Toc19599" </w:instrText>
      </w:r>
      <w:r>
        <w:fldChar w:fldCharType="separate"/>
      </w:r>
      <w:r>
        <w:rPr>
          <w:sz w:val="24"/>
        </w:rPr>
        <w:t>附录A</w:t>
      </w:r>
      <w:r>
        <w:rPr>
          <w:sz w:val="24"/>
        </w:rPr>
        <w:fldChar w:fldCharType="end"/>
      </w:r>
      <w:r>
        <w:fldChar w:fldCharType="begin"/>
      </w:r>
      <w:r>
        <w:instrText xml:space="preserve"> HYPERLINK \l "_Toc14641" </w:instrText>
      </w:r>
      <w:r>
        <w:fldChar w:fldCharType="separate"/>
      </w:r>
      <w:r>
        <w:rPr>
          <w:sz w:val="24"/>
        </w:rPr>
        <w:t>测试证书的内页格式</w:t>
      </w:r>
      <w:r>
        <w:rPr>
          <w:sz w:val="24"/>
        </w:rPr>
        <w:tab/>
      </w:r>
      <w:r>
        <w:rPr>
          <w:sz w:val="24"/>
        </w:rPr>
        <w:fldChar w:fldCharType="begin"/>
      </w:r>
      <w:r>
        <w:rPr>
          <w:sz w:val="24"/>
        </w:rPr>
        <w:instrText xml:space="preserve"> PAGEREF _Toc14641 \h </w:instrText>
      </w:r>
      <w:r>
        <w:rPr>
          <w:sz w:val="24"/>
        </w:rPr>
        <w:fldChar w:fldCharType="separate"/>
      </w:r>
      <w:r>
        <w:rPr>
          <w:sz w:val="24"/>
        </w:rPr>
        <w:t>10</w:t>
      </w:r>
      <w:r>
        <w:rPr>
          <w:sz w:val="24"/>
        </w:rPr>
        <w:fldChar w:fldCharType="end"/>
      </w:r>
      <w:r>
        <w:rPr>
          <w:sz w:val="24"/>
        </w:rPr>
        <w:fldChar w:fldCharType="end"/>
      </w:r>
    </w:p>
    <w:p>
      <w:pPr>
        <w:pStyle w:val="18"/>
        <w:tabs>
          <w:tab w:val="right" w:leader="dot" w:pos="9298"/>
          <w:tab w:val="clear" w:pos="9345"/>
        </w:tabs>
        <w:rPr>
          <w:sz w:val="24"/>
        </w:rPr>
      </w:pPr>
      <w:r>
        <w:fldChar w:fldCharType="begin"/>
      </w:r>
      <w:r>
        <w:instrText xml:space="preserve"> HYPERLINK \l "_Toc31774" </w:instrText>
      </w:r>
      <w:r>
        <w:fldChar w:fldCharType="separate"/>
      </w:r>
      <w:r>
        <w:rPr>
          <w:sz w:val="24"/>
        </w:rPr>
        <w:t>附录B</w:t>
      </w:r>
      <w:r>
        <w:rPr>
          <w:sz w:val="24"/>
        </w:rPr>
        <w:fldChar w:fldCharType="end"/>
      </w:r>
      <w:r>
        <w:fldChar w:fldCharType="begin"/>
      </w:r>
      <w:r>
        <w:instrText xml:space="preserve"> HYPERLINK \l "_Toc28172" </w:instrText>
      </w:r>
      <w:r>
        <w:fldChar w:fldCharType="separate"/>
      </w:r>
      <w:r>
        <w:rPr>
          <w:sz w:val="24"/>
        </w:rPr>
        <w:t>测量不确定度的评定示例</w:t>
      </w:r>
      <w:r>
        <w:rPr>
          <w:sz w:val="24"/>
        </w:rPr>
        <w:tab/>
      </w:r>
      <w:r>
        <w:rPr>
          <w:sz w:val="24"/>
        </w:rPr>
        <w:fldChar w:fldCharType="begin"/>
      </w:r>
      <w:r>
        <w:rPr>
          <w:sz w:val="24"/>
        </w:rPr>
        <w:instrText xml:space="preserve"> PAGEREF _Toc28172 \h </w:instrText>
      </w:r>
      <w:r>
        <w:rPr>
          <w:sz w:val="24"/>
        </w:rPr>
        <w:fldChar w:fldCharType="separate"/>
      </w:r>
      <w:r>
        <w:rPr>
          <w:sz w:val="24"/>
        </w:rPr>
        <w:t>13</w:t>
      </w:r>
      <w:r>
        <w:rPr>
          <w:sz w:val="24"/>
        </w:rPr>
        <w:fldChar w:fldCharType="end"/>
      </w:r>
      <w:r>
        <w:rPr>
          <w:sz w:val="24"/>
        </w:rPr>
        <w:fldChar w:fldCharType="end"/>
      </w:r>
    </w:p>
    <w:p>
      <w:pPr>
        <w:spacing w:line="300" w:lineRule="auto"/>
        <w:jc w:val="center"/>
        <w:rPr>
          <w:sz w:val="24"/>
        </w:rPr>
      </w:pPr>
      <w:r>
        <w:rPr>
          <w:sz w:val="24"/>
        </w:rPr>
        <w:fldChar w:fldCharType="end"/>
      </w:r>
    </w:p>
    <w:p>
      <w:pPr>
        <w:pStyle w:val="2"/>
        <w:jc w:val="center"/>
        <w:rPr>
          <w:rFonts w:eastAsia="黑体"/>
          <w:sz w:val="44"/>
          <w:szCs w:val="44"/>
        </w:rPr>
      </w:pPr>
      <w:r>
        <w:br w:type="page"/>
      </w:r>
      <w:bookmarkStart w:id="4" w:name="_Toc29218"/>
      <w:bookmarkStart w:id="5" w:name="_Toc20619"/>
      <w:bookmarkStart w:id="6" w:name="_Toc23917"/>
      <w:bookmarkStart w:id="7" w:name="_Toc11165"/>
      <w:r>
        <w:rPr>
          <w:rFonts w:hint="eastAsia" w:eastAsia="黑体"/>
          <w:sz w:val="52"/>
          <w:szCs w:val="52"/>
        </w:rPr>
        <w:t>引    言</w:t>
      </w:r>
      <w:bookmarkEnd w:id="4"/>
      <w:bookmarkEnd w:id="5"/>
      <w:bookmarkEnd w:id="6"/>
      <w:bookmarkEnd w:id="7"/>
    </w:p>
    <w:p>
      <w:pPr>
        <w:spacing w:line="300" w:lineRule="auto"/>
        <w:ind w:firstLine="480" w:firstLineChars="200"/>
        <w:rPr>
          <w:sz w:val="24"/>
        </w:rPr>
      </w:pPr>
      <w:r>
        <w:rPr>
          <w:rFonts w:hint="eastAsia"/>
          <w:sz w:val="24"/>
        </w:rPr>
        <w:t>JJF1001—2011《通用计量术语及定义》、JJF1071—2010《国家计量校准规范编写规则》、JJF1059.1—2012《测量不确定度评定与表示》共同构成支撑本规范制定工作的基础性系列文件</w:t>
      </w:r>
      <w:r>
        <w:rPr>
          <w:sz w:val="24"/>
        </w:rPr>
        <w:t>。</w:t>
      </w:r>
    </w:p>
    <w:p>
      <w:pPr>
        <w:spacing w:line="300" w:lineRule="auto"/>
        <w:ind w:firstLine="480" w:firstLineChars="200"/>
        <w:rPr>
          <w:sz w:val="24"/>
        </w:rPr>
      </w:pPr>
      <w:r>
        <w:rPr>
          <w:rFonts w:hint="eastAsia"/>
          <w:sz w:val="24"/>
        </w:rPr>
        <w:t>本规范测试方法及计量特性参考</w:t>
      </w:r>
      <w:r>
        <w:rPr>
          <w:sz w:val="24"/>
        </w:rPr>
        <w:t>GB/T 51091</w:t>
      </w:r>
      <w:r>
        <w:rPr>
          <w:rFonts w:hint="eastAsia"/>
          <w:sz w:val="24"/>
        </w:rPr>
        <w:t>—</w:t>
      </w:r>
      <w:r>
        <w:rPr>
          <w:sz w:val="24"/>
        </w:rPr>
        <w:t>2015《试听室工程技术规范》、GB/T 12060.13</w:t>
      </w:r>
      <w:r>
        <w:rPr>
          <w:rFonts w:hint="eastAsia"/>
          <w:sz w:val="24"/>
        </w:rPr>
        <w:t>—</w:t>
      </w:r>
      <w:r>
        <w:rPr>
          <w:sz w:val="24"/>
        </w:rPr>
        <w:t>2011《声系统设备 第13部分：扬声器听音试验》</w:t>
      </w:r>
      <w:r>
        <w:rPr>
          <w:rFonts w:hint="eastAsia"/>
          <w:sz w:val="24"/>
        </w:rPr>
        <w:t>、JJF 1143—2006 《混响室声学特性校准规范》</w:t>
      </w:r>
      <w:r>
        <w:rPr>
          <w:sz w:val="24"/>
        </w:rPr>
        <w:t>等标准的</w:t>
      </w:r>
      <w:r>
        <w:rPr>
          <w:rFonts w:hint="eastAsia"/>
          <w:sz w:val="24"/>
        </w:rPr>
        <w:t>相关条款制定。</w:t>
      </w:r>
    </w:p>
    <w:p>
      <w:pPr>
        <w:spacing w:line="300" w:lineRule="auto"/>
        <w:ind w:firstLine="480" w:firstLineChars="200"/>
        <w:rPr>
          <w:color w:val="FF0000"/>
          <w:sz w:val="24"/>
        </w:rPr>
      </w:pPr>
      <w:r>
        <w:rPr>
          <w:rFonts w:hint="eastAsia"/>
          <w:sz w:val="24"/>
        </w:rPr>
        <w:t>本规范为首次发布。</w:t>
      </w:r>
    </w:p>
    <w:p>
      <w:pPr>
        <w:spacing w:line="360" w:lineRule="auto"/>
        <w:jc w:val="distribute"/>
        <w:rPr>
          <w:sz w:val="24"/>
        </w:rPr>
      </w:pPr>
    </w:p>
    <w:p>
      <w:pPr>
        <w:spacing w:line="360" w:lineRule="auto"/>
        <w:jc w:val="distribute"/>
        <w:rPr>
          <w:sz w:val="24"/>
        </w:rPr>
        <w:sectPr>
          <w:pgSz w:w="11906" w:h="16838"/>
          <w:pgMar w:top="1474" w:right="1134" w:bottom="1474" w:left="1474" w:header="851" w:footer="992" w:gutter="0"/>
          <w:pgNumType w:fmt="upperRoman" w:start="1"/>
          <w:cols w:space="720" w:num="1"/>
          <w:docGrid w:type="lines" w:linePitch="312" w:charSpace="0"/>
        </w:sectPr>
      </w:pPr>
    </w:p>
    <w:p>
      <w:pPr>
        <w:spacing w:beforeLines="100" w:afterLines="100"/>
        <w:jc w:val="center"/>
        <w:rPr>
          <w:rFonts w:ascii="黑体" w:eastAsia="黑体"/>
          <w:spacing w:val="20"/>
          <w:sz w:val="32"/>
          <w:szCs w:val="32"/>
        </w:rPr>
      </w:pPr>
      <w:r>
        <w:rPr>
          <w:rFonts w:hint="eastAsia" w:ascii="黑体" w:eastAsia="黑体"/>
          <w:spacing w:val="20"/>
          <w:sz w:val="32"/>
          <w:szCs w:val="32"/>
        </w:rPr>
        <w:t>试听室声学特性测试技术规范</w:t>
      </w:r>
    </w:p>
    <w:p>
      <w:pPr>
        <w:pStyle w:val="2"/>
        <w:numPr>
          <w:ilvl w:val="0"/>
          <w:numId w:val="4"/>
        </w:numPr>
        <w:spacing w:beforeLines="50" w:afterLines="50" w:line="300" w:lineRule="auto"/>
        <w:ind w:left="0" w:firstLine="0"/>
        <w:rPr>
          <w:rFonts w:ascii="Times New Roman" w:hAnsi="Times New Roman" w:eastAsia="黑体"/>
          <w:b w:val="0"/>
        </w:rPr>
      </w:pPr>
      <w:bookmarkStart w:id="8" w:name="_Toc18697"/>
      <w:bookmarkStart w:id="9" w:name="_Toc19079"/>
      <w:bookmarkStart w:id="10" w:name="_Toc15067"/>
      <w:bookmarkStart w:id="11" w:name="_Toc29870"/>
      <w:bookmarkStart w:id="12" w:name="_Toc239491046"/>
      <w:r>
        <w:rPr>
          <w:rFonts w:ascii="Times New Roman" w:hAnsi="Times New Roman" w:eastAsia="黑体"/>
          <w:b w:val="0"/>
        </w:rPr>
        <w:t>范围</w:t>
      </w:r>
      <w:bookmarkEnd w:id="8"/>
      <w:bookmarkEnd w:id="9"/>
      <w:bookmarkEnd w:id="10"/>
      <w:bookmarkEnd w:id="11"/>
      <w:bookmarkEnd w:id="12"/>
    </w:p>
    <w:p>
      <w:pPr>
        <w:adjustRightInd w:val="0"/>
        <w:snapToGrid w:val="0"/>
        <w:spacing w:line="300" w:lineRule="auto"/>
        <w:ind w:firstLine="480" w:firstLineChars="200"/>
        <w:rPr>
          <w:sz w:val="24"/>
        </w:rPr>
      </w:pPr>
      <w:r>
        <w:rPr>
          <w:sz w:val="24"/>
        </w:rPr>
        <w:t>本</w:t>
      </w:r>
      <w:r>
        <w:rPr>
          <w:rFonts w:hint="eastAsia"/>
          <w:sz w:val="24"/>
        </w:rPr>
        <w:t>规范</w:t>
      </w:r>
      <w:r>
        <w:rPr>
          <w:sz w:val="24"/>
        </w:rPr>
        <w:t>适用</w:t>
      </w:r>
      <w:r>
        <w:rPr>
          <w:rFonts w:hint="eastAsia"/>
          <w:sz w:val="24"/>
        </w:rPr>
        <w:t>于对电声产品、设备与系统进行语言识别、音质评价的试听室的测试，其他类似用途的听音室、录音室可参考本规范执行</w:t>
      </w:r>
      <w:r>
        <w:rPr>
          <w:sz w:val="24"/>
        </w:rPr>
        <w:t>。</w:t>
      </w:r>
    </w:p>
    <w:p>
      <w:pPr>
        <w:pStyle w:val="2"/>
        <w:numPr>
          <w:ilvl w:val="0"/>
          <w:numId w:val="4"/>
        </w:numPr>
        <w:spacing w:beforeLines="50" w:afterLines="50" w:line="300" w:lineRule="auto"/>
        <w:ind w:left="0" w:firstLine="0"/>
        <w:rPr>
          <w:rFonts w:ascii="黑体" w:hAnsi="Times New Roman" w:eastAsia="黑体"/>
          <w:b w:val="0"/>
        </w:rPr>
      </w:pPr>
      <w:bookmarkStart w:id="13" w:name="_Toc239491047"/>
      <w:bookmarkStart w:id="14" w:name="_Toc32538"/>
      <w:bookmarkStart w:id="15" w:name="_Toc4863"/>
      <w:bookmarkStart w:id="16" w:name="_Toc2413"/>
      <w:bookmarkStart w:id="17" w:name="_Toc12921"/>
      <w:r>
        <w:rPr>
          <w:rFonts w:hint="eastAsia" w:ascii="黑体" w:hAnsi="Times New Roman" w:eastAsia="黑体"/>
          <w:b w:val="0"/>
        </w:rPr>
        <w:t>引用文</w:t>
      </w:r>
      <w:bookmarkEnd w:id="13"/>
      <w:r>
        <w:rPr>
          <w:rFonts w:hint="eastAsia" w:ascii="黑体" w:hAnsi="Times New Roman" w:eastAsia="黑体"/>
          <w:b w:val="0"/>
        </w:rPr>
        <w:t>件</w:t>
      </w:r>
      <w:bookmarkEnd w:id="14"/>
      <w:bookmarkEnd w:id="15"/>
      <w:bookmarkEnd w:id="16"/>
      <w:bookmarkEnd w:id="17"/>
    </w:p>
    <w:p>
      <w:pPr>
        <w:adjustRightInd w:val="0"/>
        <w:snapToGrid w:val="0"/>
        <w:spacing w:line="300" w:lineRule="auto"/>
        <w:ind w:firstLine="480" w:firstLineChars="200"/>
        <w:rPr>
          <w:sz w:val="24"/>
        </w:rPr>
      </w:pPr>
      <w:r>
        <w:rPr>
          <w:sz w:val="24"/>
        </w:rPr>
        <w:t>本</w:t>
      </w:r>
      <w:r>
        <w:rPr>
          <w:rFonts w:hint="eastAsia"/>
          <w:sz w:val="24"/>
        </w:rPr>
        <w:t>规范</w:t>
      </w:r>
      <w:r>
        <w:rPr>
          <w:sz w:val="24"/>
        </w:rPr>
        <w:t>引用下列文件：</w:t>
      </w:r>
    </w:p>
    <w:p>
      <w:pPr>
        <w:adjustRightInd w:val="0"/>
        <w:snapToGrid w:val="0"/>
        <w:spacing w:line="300" w:lineRule="auto"/>
        <w:ind w:firstLine="480" w:firstLineChars="200"/>
        <w:rPr>
          <w:sz w:val="24"/>
        </w:rPr>
      </w:pPr>
      <w:r>
        <w:rPr>
          <w:sz w:val="24"/>
        </w:rPr>
        <w:t>JJF 1001通用计量术语及定义</w:t>
      </w:r>
    </w:p>
    <w:p>
      <w:pPr>
        <w:adjustRightInd w:val="0"/>
        <w:snapToGrid w:val="0"/>
        <w:spacing w:line="300" w:lineRule="auto"/>
        <w:ind w:firstLine="480" w:firstLineChars="200"/>
        <w:rPr>
          <w:sz w:val="24"/>
        </w:rPr>
      </w:pPr>
      <w:r>
        <w:rPr>
          <w:sz w:val="24"/>
        </w:rPr>
        <w:t>JJF 1034</w:t>
      </w:r>
      <w:r>
        <w:rPr>
          <w:rFonts w:hint="eastAsia"/>
          <w:sz w:val="24"/>
        </w:rPr>
        <w:t>—2020</w:t>
      </w:r>
      <w:r>
        <w:rPr>
          <w:sz w:val="24"/>
        </w:rPr>
        <w:t>声学计量术语及定义</w:t>
      </w:r>
    </w:p>
    <w:p>
      <w:pPr>
        <w:adjustRightInd w:val="0"/>
        <w:snapToGrid w:val="0"/>
        <w:spacing w:line="300" w:lineRule="auto"/>
        <w:ind w:firstLine="480" w:firstLineChars="200"/>
        <w:rPr>
          <w:sz w:val="24"/>
        </w:rPr>
      </w:pPr>
      <w:r>
        <w:rPr>
          <w:sz w:val="24"/>
        </w:rPr>
        <w:t>JJF 1059.1</w:t>
      </w:r>
      <w:r>
        <w:rPr>
          <w:rFonts w:hint="eastAsia"/>
          <w:sz w:val="24"/>
        </w:rPr>
        <w:t xml:space="preserve">  测量不确定度评定与表示</w:t>
      </w:r>
    </w:p>
    <w:p>
      <w:pPr>
        <w:adjustRightInd w:val="0"/>
        <w:snapToGrid w:val="0"/>
        <w:spacing w:line="300" w:lineRule="auto"/>
        <w:ind w:firstLine="480" w:firstLineChars="200"/>
        <w:rPr>
          <w:sz w:val="24"/>
        </w:rPr>
      </w:pPr>
      <w:r>
        <w:rPr>
          <w:rFonts w:hint="eastAsia"/>
          <w:sz w:val="24"/>
        </w:rPr>
        <w:t>JJF 1143—2006 混响室声学特性校准规范</w:t>
      </w:r>
    </w:p>
    <w:p>
      <w:pPr>
        <w:adjustRightInd w:val="0"/>
        <w:snapToGrid w:val="0"/>
        <w:spacing w:line="300" w:lineRule="auto"/>
        <w:ind w:firstLine="480" w:firstLineChars="200"/>
        <w:rPr>
          <w:sz w:val="24"/>
        </w:rPr>
      </w:pPr>
      <w:r>
        <w:rPr>
          <w:sz w:val="24"/>
        </w:rPr>
        <w:t>GB 3102.7声学的量和单位</w:t>
      </w:r>
    </w:p>
    <w:p>
      <w:pPr>
        <w:adjustRightInd w:val="0"/>
        <w:snapToGrid w:val="0"/>
        <w:spacing w:line="300" w:lineRule="auto"/>
        <w:ind w:firstLine="480" w:firstLineChars="200"/>
        <w:rPr>
          <w:sz w:val="24"/>
        </w:rPr>
      </w:pPr>
      <w:r>
        <w:rPr>
          <w:sz w:val="24"/>
        </w:rPr>
        <w:t>GB/T 3947</w:t>
      </w:r>
      <w:r>
        <w:rPr>
          <w:rFonts w:hint="eastAsia"/>
          <w:sz w:val="24"/>
        </w:rPr>
        <w:t>—1996</w:t>
      </w:r>
      <w:r>
        <w:rPr>
          <w:sz w:val="24"/>
        </w:rPr>
        <w:t>声学名词术语</w:t>
      </w:r>
    </w:p>
    <w:p>
      <w:pPr>
        <w:adjustRightInd w:val="0"/>
        <w:snapToGrid w:val="0"/>
        <w:spacing w:line="300" w:lineRule="auto"/>
        <w:ind w:firstLine="480" w:firstLineChars="200"/>
        <w:rPr>
          <w:sz w:val="24"/>
        </w:rPr>
      </w:pPr>
      <w:r>
        <w:rPr>
          <w:rFonts w:hint="eastAsia"/>
          <w:sz w:val="24"/>
        </w:rPr>
        <w:t>GB/T 51091—2015试听室工程技术规范</w:t>
      </w:r>
    </w:p>
    <w:p>
      <w:pPr>
        <w:adjustRightInd w:val="0"/>
        <w:snapToGrid w:val="0"/>
        <w:spacing w:line="300" w:lineRule="auto"/>
        <w:ind w:firstLine="480" w:firstLineChars="200"/>
        <w:rPr>
          <w:sz w:val="24"/>
        </w:rPr>
      </w:pPr>
      <w:r>
        <w:rPr>
          <w:rFonts w:hint="eastAsia"/>
          <w:sz w:val="24"/>
        </w:rPr>
        <w:t>GB/T 6881—2023 声学 声压法测定噪声源声功率级和声能量级 混响室精密法</w:t>
      </w:r>
    </w:p>
    <w:p>
      <w:pPr>
        <w:adjustRightInd w:val="0"/>
        <w:snapToGrid w:val="0"/>
        <w:spacing w:line="300" w:lineRule="auto"/>
        <w:ind w:firstLine="480" w:firstLineChars="200"/>
        <w:rPr>
          <w:sz w:val="24"/>
        </w:rPr>
      </w:pPr>
      <w:r>
        <w:rPr>
          <w:rFonts w:hint="eastAsia"/>
          <w:sz w:val="24"/>
        </w:rPr>
        <w:t>GB/T 12060.13—2011声系统设备 第13部分：扬声器听音试验</w:t>
      </w:r>
    </w:p>
    <w:p>
      <w:pPr>
        <w:adjustRightInd w:val="0"/>
        <w:snapToGrid w:val="0"/>
        <w:spacing w:line="300" w:lineRule="auto"/>
        <w:ind w:firstLine="480" w:firstLineChars="200"/>
        <w:rPr>
          <w:sz w:val="24"/>
        </w:rPr>
      </w:pPr>
      <w:r>
        <w:rPr>
          <w:rFonts w:hint="eastAsia"/>
          <w:sz w:val="24"/>
        </w:rPr>
        <w:t>GB/T 19889.1—2026 声学 建筑和建筑构件隔声的现场测量 第1部分：房间之间空气声隔声</w:t>
      </w:r>
    </w:p>
    <w:p>
      <w:pPr>
        <w:adjustRightInd w:val="0"/>
        <w:snapToGrid w:val="0"/>
        <w:spacing w:line="300" w:lineRule="auto"/>
        <w:ind w:firstLine="480" w:firstLineChars="200"/>
        <w:rPr>
          <w:sz w:val="24"/>
        </w:rPr>
      </w:pPr>
      <w:r>
        <w:rPr>
          <w:rFonts w:hint="eastAsia"/>
          <w:sz w:val="24"/>
        </w:rPr>
        <w:t>GB/T 19889.7—2022 声学 建筑和建筑构件隔声测量 第7部分：撞击声隔声的现场测量</w:t>
      </w:r>
    </w:p>
    <w:p>
      <w:pPr>
        <w:adjustRightInd w:val="0"/>
        <w:snapToGrid w:val="0"/>
        <w:spacing w:line="300" w:lineRule="auto"/>
        <w:ind w:firstLine="480" w:firstLineChars="200"/>
        <w:rPr>
          <w:sz w:val="24"/>
        </w:rPr>
      </w:pPr>
      <w:r>
        <w:rPr>
          <w:rFonts w:hAnsi="宋体"/>
          <w:sz w:val="24"/>
        </w:rPr>
        <w:t>凡是注日期的引用文件，仅注日期的版本适用于本</w:t>
      </w:r>
      <w:r>
        <w:rPr>
          <w:rFonts w:hint="eastAsia" w:hAnsi="宋体"/>
          <w:sz w:val="24"/>
        </w:rPr>
        <w:t>规范</w:t>
      </w:r>
      <w:r>
        <w:rPr>
          <w:rFonts w:hAnsi="宋体"/>
          <w:sz w:val="24"/>
        </w:rPr>
        <w:t>；凡是不注日期的引用文件，其最新版本（包括所有的修改单）适用于本</w:t>
      </w:r>
      <w:r>
        <w:rPr>
          <w:rFonts w:hint="eastAsia" w:hAnsi="宋体"/>
          <w:sz w:val="24"/>
        </w:rPr>
        <w:t>规范</w:t>
      </w:r>
      <w:r>
        <w:rPr>
          <w:rFonts w:hAnsi="宋体"/>
          <w:sz w:val="24"/>
        </w:rPr>
        <w:t>。</w:t>
      </w:r>
    </w:p>
    <w:p>
      <w:pPr>
        <w:pStyle w:val="2"/>
        <w:numPr>
          <w:ilvl w:val="0"/>
          <w:numId w:val="4"/>
        </w:numPr>
        <w:spacing w:beforeLines="50" w:afterLines="50" w:line="300" w:lineRule="auto"/>
        <w:ind w:left="0" w:firstLine="0"/>
        <w:rPr>
          <w:rFonts w:ascii="黑体" w:hAnsi="Times New Roman" w:eastAsia="黑体"/>
          <w:b w:val="0"/>
        </w:rPr>
      </w:pPr>
      <w:bookmarkStart w:id="18" w:name="_Toc239491048"/>
      <w:bookmarkStart w:id="19" w:name="_Toc24947"/>
      <w:bookmarkStart w:id="20" w:name="_Toc24704"/>
      <w:bookmarkStart w:id="21" w:name="_Toc18027"/>
      <w:bookmarkStart w:id="22" w:name="_Toc17164"/>
      <w:r>
        <w:rPr>
          <w:rFonts w:hint="eastAsia" w:ascii="黑体" w:hAnsi="Times New Roman" w:eastAsia="黑体"/>
          <w:b w:val="0"/>
        </w:rPr>
        <w:t>术语和计量单位</w:t>
      </w:r>
      <w:bookmarkEnd w:id="18"/>
      <w:bookmarkEnd w:id="19"/>
      <w:bookmarkEnd w:id="20"/>
      <w:bookmarkEnd w:id="21"/>
      <w:bookmarkEnd w:id="22"/>
    </w:p>
    <w:p>
      <w:pPr>
        <w:pStyle w:val="3"/>
        <w:numPr>
          <w:ilvl w:val="1"/>
          <w:numId w:val="5"/>
        </w:numPr>
        <w:tabs>
          <w:tab w:val="left" w:pos="602"/>
          <w:tab w:val="clear" w:pos="360"/>
        </w:tabs>
        <w:spacing w:line="300" w:lineRule="auto"/>
        <w:ind w:left="0" w:firstLine="0"/>
      </w:pPr>
      <w:bookmarkStart w:id="23" w:name="_Toc13936"/>
      <w:bookmarkStart w:id="24" w:name="_Toc22648"/>
      <w:bookmarkStart w:id="25" w:name="_Toc25775"/>
      <w:bookmarkStart w:id="26" w:name="_Toc12663"/>
      <w:r>
        <w:rPr>
          <w:rFonts w:hint="eastAsia"/>
        </w:rPr>
        <w:t>计量单位</w:t>
      </w:r>
      <w:bookmarkEnd w:id="23"/>
      <w:bookmarkEnd w:id="24"/>
      <w:bookmarkEnd w:id="25"/>
      <w:bookmarkEnd w:id="26"/>
    </w:p>
    <w:p>
      <w:pPr>
        <w:adjustRightInd w:val="0"/>
        <w:snapToGrid w:val="0"/>
        <w:spacing w:line="300" w:lineRule="auto"/>
        <w:ind w:firstLine="480" w:firstLineChars="200"/>
        <w:rPr>
          <w:sz w:val="24"/>
        </w:rPr>
      </w:pPr>
      <w:r>
        <w:rPr>
          <w:sz w:val="24"/>
        </w:rPr>
        <w:t>本</w:t>
      </w:r>
      <w:r>
        <w:rPr>
          <w:rFonts w:hint="eastAsia"/>
          <w:sz w:val="24"/>
        </w:rPr>
        <w:t>规范</w:t>
      </w:r>
      <w:r>
        <w:rPr>
          <w:sz w:val="24"/>
        </w:rPr>
        <w:t>采用GB 3102.7规定的量和单位。</w:t>
      </w:r>
    </w:p>
    <w:p>
      <w:pPr>
        <w:pStyle w:val="3"/>
        <w:numPr>
          <w:ilvl w:val="1"/>
          <w:numId w:val="5"/>
        </w:numPr>
        <w:tabs>
          <w:tab w:val="left" w:pos="602"/>
          <w:tab w:val="clear" w:pos="360"/>
        </w:tabs>
        <w:spacing w:line="300" w:lineRule="auto"/>
        <w:ind w:left="0" w:firstLine="0"/>
      </w:pPr>
      <w:bookmarkStart w:id="27" w:name="_Toc11705"/>
      <w:bookmarkStart w:id="28" w:name="_Toc31049"/>
      <w:bookmarkStart w:id="29" w:name="_Toc3911"/>
      <w:bookmarkStart w:id="30" w:name="_Toc26471"/>
      <w:r>
        <w:rPr>
          <w:rFonts w:hint="eastAsia"/>
        </w:rPr>
        <w:t>术语及定义</w:t>
      </w:r>
      <w:bookmarkEnd w:id="27"/>
      <w:bookmarkEnd w:id="28"/>
      <w:bookmarkEnd w:id="29"/>
      <w:bookmarkEnd w:id="30"/>
    </w:p>
    <w:p>
      <w:pPr>
        <w:adjustRightInd w:val="0"/>
        <w:snapToGrid w:val="0"/>
        <w:spacing w:line="300" w:lineRule="auto"/>
        <w:ind w:firstLine="480" w:firstLineChars="200"/>
        <w:rPr>
          <w:sz w:val="24"/>
        </w:rPr>
      </w:pPr>
      <w:r>
        <w:rPr>
          <w:sz w:val="24"/>
        </w:rPr>
        <w:t>JJF 1001、JJF 1034和GB/T 3947</w:t>
      </w:r>
      <w:r>
        <w:rPr>
          <w:rFonts w:hint="eastAsia"/>
          <w:sz w:val="24"/>
        </w:rPr>
        <w:t>—</w:t>
      </w:r>
      <w:r>
        <w:rPr>
          <w:sz w:val="24"/>
        </w:rPr>
        <w:t>1996界定的及以下术语和定义适用于本</w:t>
      </w:r>
      <w:r>
        <w:rPr>
          <w:rFonts w:hint="eastAsia"/>
          <w:sz w:val="24"/>
        </w:rPr>
        <w:t>规范</w:t>
      </w:r>
      <w:r>
        <w:rPr>
          <w:sz w:val="24"/>
        </w:rPr>
        <w:t>。</w:t>
      </w:r>
    </w:p>
    <w:p>
      <w:pPr>
        <w:pStyle w:val="9"/>
        <w:numPr>
          <w:ilvl w:val="2"/>
          <w:numId w:val="5"/>
        </w:numPr>
        <w:tabs>
          <w:tab w:val="left" w:pos="840"/>
        </w:tabs>
        <w:spacing w:line="300" w:lineRule="auto"/>
        <w:rPr>
          <w:sz w:val="24"/>
        </w:rPr>
      </w:pPr>
      <w:r>
        <w:rPr>
          <w:rFonts w:hint="eastAsia"/>
          <w:sz w:val="24"/>
        </w:rPr>
        <w:t>混响时间 reverberation time</w:t>
      </w:r>
    </w:p>
    <w:p>
      <w:pPr>
        <w:adjustRightInd w:val="0"/>
        <w:snapToGrid w:val="0"/>
        <w:spacing w:line="300" w:lineRule="auto"/>
        <w:ind w:firstLine="480" w:firstLineChars="200"/>
        <w:rPr>
          <w:i/>
          <w:iCs/>
          <w:color w:val="000000"/>
          <w:sz w:val="24"/>
        </w:rPr>
      </w:pPr>
      <w:r>
        <w:rPr>
          <w:rFonts w:hint="eastAsia"/>
          <w:i/>
          <w:iCs/>
          <w:color w:val="000000"/>
          <w:sz w:val="24"/>
        </w:rPr>
        <w:t>T</w:t>
      </w:r>
    </w:p>
    <w:p>
      <w:pPr>
        <w:adjustRightInd w:val="0"/>
        <w:snapToGrid w:val="0"/>
        <w:spacing w:line="300" w:lineRule="auto"/>
        <w:ind w:firstLine="480" w:firstLineChars="200"/>
        <w:rPr>
          <w:color w:val="000000"/>
          <w:sz w:val="24"/>
        </w:rPr>
      </w:pPr>
      <w:r>
        <w:rPr>
          <w:rFonts w:hint="eastAsia"/>
          <w:color w:val="000000"/>
          <w:sz w:val="24"/>
        </w:rPr>
        <w:t>声音已达到稳态后停止声源，平均声能密度自原始值衰变到其百万分之一（60 dB）所需要的时间。</w:t>
      </w:r>
    </w:p>
    <w:p>
      <w:pPr>
        <w:adjustRightInd w:val="0"/>
        <w:snapToGrid w:val="0"/>
        <w:spacing w:line="300" w:lineRule="auto"/>
        <w:ind w:firstLine="480" w:firstLineChars="200"/>
        <w:rPr>
          <w:color w:val="000000"/>
          <w:sz w:val="24"/>
        </w:rPr>
      </w:pPr>
      <w:r>
        <w:rPr>
          <w:rFonts w:hint="eastAsia" w:ascii="宋体" w:hAnsi="宋体" w:cs="宋体"/>
          <w:sz w:val="24"/>
        </w:rPr>
        <w:t>[</w:t>
      </w:r>
      <w:r>
        <w:rPr>
          <w:sz w:val="24"/>
        </w:rPr>
        <w:t>GB/T 3947</w:t>
      </w:r>
      <w:r>
        <w:rPr>
          <w:rFonts w:hint="eastAsia"/>
          <w:sz w:val="24"/>
        </w:rPr>
        <w:t>—</w:t>
      </w:r>
      <w:r>
        <w:rPr>
          <w:sz w:val="24"/>
        </w:rPr>
        <w:t>1996</w:t>
      </w:r>
      <w:r>
        <w:rPr>
          <w:rFonts w:hint="eastAsia" w:ascii="宋体" w:hAnsi="宋体" w:cs="宋体"/>
          <w:sz w:val="24"/>
        </w:rPr>
        <w:t>，定义</w:t>
      </w:r>
      <w:r>
        <w:rPr>
          <w:rFonts w:hint="eastAsia"/>
          <w:sz w:val="24"/>
        </w:rPr>
        <w:t>12</w:t>
      </w:r>
      <w:r>
        <w:rPr>
          <w:sz w:val="24"/>
        </w:rPr>
        <w:t>.</w:t>
      </w:r>
      <w:r>
        <w:rPr>
          <w:rFonts w:hint="eastAsia"/>
          <w:sz w:val="24"/>
        </w:rPr>
        <w:t>47</w:t>
      </w:r>
      <w:r>
        <w:rPr>
          <w:rFonts w:hint="eastAsia" w:ascii="宋体" w:hAnsi="宋体" w:cs="宋体"/>
          <w:sz w:val="24"/>
        </w:rPr>
        <w:t>]</w:t>
      </w:r>
    </w:p>
    <w:p>
      <w:pPr>
        <w:adjustRightInd w:val="0"/>
        <w:snapToGrid w:val="0"/>
        <w:spacing w:line="300" w:lineRule="auto"/>
        <w:ind w:firstLine="420" w:firstLineChars="200"/>
        <w:rPr>
          <w:color w:val="000000"/>
          <w:szCs w:val="21"/>
        </w:rPr>
      </w:pPr>
      <w:r>
        <w:rPr>
          <w:color w:val="000000"/>
          <w:szCs w:val="21"/>
        </w:rPr>
        <w:t>注</w:t>
      </w:r>
      <w:r>
        <w:rPr>
          <w:rFonts w:hint="eastAsia"/>
          <w:color w:val="000000"/>
          <w:szCs w:val="21"/>
        </w:rPr>
        <w:t>：混响时间单位为秒（s）。</w:t>
      </w:r>
    </w:p>
    <w:p>
      <w:pPr>
        <w:pStyle w:val="9"/>
        <w:numPr>
          <w:ilvl w:val="2"/>
          <w:numId w:val="5"/>
        </w:numPr>
        <w:tabs>
          <w:tab w:val="left" w:pos="840"/>
          <w:tab w:val="clear" w:pos="720"/>
        </w:tabs>
        <w:spacing w:line="300" w:lineRule="auto"/>
        <w:ind w:left="0" w:firstLine="0"/>
        <w:rPr>
          <w:sz w:val="24"/>
        </w:rPr>
      </w:pPr>
      <w:r>
        <w:rPr>
          <w:rFonts w:hint="eastAsia"/>
          <w:sz w:val="24"/>
        </w:rPr>
        <w:t>声压级均匀性 uniformity of sound pressure level</w:t>
      </w:r>
    </w:p>
    <w:p>
      <w:pPr>
        <w:adjustRightInd w:val="0"/>
        <w:snapToGrid w:val="0"/>
        <w:spacing w:line="300" w:lineRule="auto"/>
        <w:ind w:firstLine="480" w:firstLineChars="200"/>
        <w:rPr>
          <w:sz w:val="24"/>
          <w:szCs w:val="22"/>
        </w:rPr>
      </w:pPr>
      <w:r>
        <w:rPr>
          <w:rFonts w:hint="eastAsia"/>
          <w:sz w:val="24"/>
          <w:szCs w:val="22"/>
        </w:rPr>
        <w:t>在室内，用稳定宽带噪声激发后，在室内不同位置测得的各频带声压级的标准偏差</w:t>
      </w:r>
      <w:r>
        <w:rPr>
          <w:rFonts w:hint="eastAsia"/>
          <w:i/>
          <w:iCs/>
          <w:sz w:val="24"/>
          <w:szCs w:val="22"/>
        </w:rPr>
        <w:t>S</w:t>
      </w:r>
      <w:r>
        <w:rPr>
          <w:rFonts w:hint="eastAsia"/>
          <w:i/>
          <w:iCs/>
          <w:sz w:val="24"/>
          <w:szCs w:val="22"/>
          <w:vertAlign w:val="subscript"/>
        </w:rPr>
        <w:t>M</w:t>
      </w:r>
      <w:r>
        <w:rPr>
          <w:rFonts w:hint="eastAsia"/>
          <w:sz w:val="24"/>
          <w:szCs w:val="22"/>
        </w:rPr>
        <w:t>。</w:t>
      </w:r>
    </w:p>
    <w:p>
      <w:pPr>
        <w:adjustRightInd w:val="0"/>
        <w:snapToGrid w:val="0"/>
        <w:spacing w:line="300" w:lineRule="auto"/>
        <w:ind w:firstLine="480" w:firstLineChars="200"/>
        <w:rPr>
          <w:sz w:val="24"/>
          <w:szCs w:val="22"/>
        </w:rPr>
      </w:pPr>
      <w:r>
        <w:rPr>
          <w:rFonts w:hint="eastAsia" w:ascii="宋体" w:hAnsi="宋体" w:cs="宋体"/>
          <w:sz w:val="24"/>
        </w:rPr>
        <w:t>[</w:t>
      </w:r>
      <w:r>
        <w:rPr>
          <w:rFonts w:hint="eastAsia"/>
          <w:sz w:val="24"/>
        </w:rPr>
        <w:t>JJF 1034—2020</w:t>
      </w:r>
      <w:r>
        <w:rPr>
          <w:rFonts w:hint="eastAsia" w:ascii="宋体" w:hAnsi="宋体" w:cs="宋体"/>
          <w:sz w:val="24"/>
        </w:rPr>
        <w:t>，定义</w:t>
      </w:r>
      <w:r>
        <w:rPr>
          <w:rFonts w:hint="eastAsia"/>
          <w:sz w:val="24"/>
        </w:rPr>
        <w:t>8</w:t>
      </w:r>
      <w:r>
        <w:rPr>
          <w:sz w:val="24"/>
        </w:rPr>
        <w:t>.1</w:t>
      </w:r>
      <w:r>
        <w:rPr>
          <w:rFonts w:hint="eastAsia"/>
          <w:sz w:val="24"/>
        </w:rPr>
        <w:t>2</w:t>
      </w:r>
      <w:r>
        <w:rPr>
          <w:rFonts w:hint="eastAsia" w:ascii="宋体" w:hAnsi="宋体" w:cs="宋体"/>
          <w:sz w:val="24"/>
        </w:rPr>
        <w:t>]</w:t>
      </w:r>
    </w:p>
    <w:p>
      <w:pPr>
        <w:adjustRightInd w:val="0"/>
        <w:snapToGrid w:val="0"/>
        <w:spacing w:line="300" w:lineRule="auto"/>
        <w:ind w:firstLine="420" w:firstLineChars="200"/>
        <w:rPr>
          <w:color w:val="000000"/>
          <w:szCs w:val="21"/>
        </w:rPr>
      </w:pPr>
      <w:r>
        <w:rPr>
          <w:color w:val="000000"/>
          <w:szCs w:val="21"/>
        </w:rPr>
        <w:t>注</w:t>
      </w:r>
      <w:r>
        <w:rPr>
          <w:rFonts w:hint="eastAsia"/>
          <w:color w:val="000000"/>
          <w:szCs w:val="21"/>
        </w:rPr>
        <w:t>：声压级均匀性单位为分贝（dB）。</w:t>
      </w:r>
    </w:p>
    <w:p>
      <w:pPr>
        <w:pStyle w:val="9"/>
        <w:numPr>
          <w:ilvl w:val="2"/>
          <w:numId w:val="5"/>
        </w:numPr>
        <w:tabs>
          <w:tab w:val="left" w:pos="840"/>
          <w:tab w:val="clear" w:pos="720"/>
        </w:tabs>
        <w:spacing w:line="300" w:lineRule="auto"/>
        <w:ind w:left="0" w:firstLine="0"/>
        <w:rPr>
          <w:sz w:val="24"/>
        </w:rPr>
      </w:pPr>
      <w:r>
        <w:rPr>
          <w:rFonts w:hint="eastAsia"/>
          <w:sz w:val="24"/>
        </w:rPr>
        <w:t>背景噪声 background noise</w:t>
      </w:r>
    </w:p>
    <w:p>
      <w:pPr>
        <w:adjustRightInd w:val="0"/>
        <w:snapToGrid w:val="0"/>
        <w:spacing w:line="300" w:lineRule="auto"/>
        <w:ind w:firstLine="480" w:firstLineChars="200"/>
        <w:rPr>
          <w:sz w:val="24"/>
        </w:rPr>
      </w:pPr>
      <w:r>
        <w:rPr>
          <w:rFonts w:hint="eastAsia"/>
          <w:sz w:val="24"/>
        </w:rPr>
        <w:t>在发生、检查、测量或记录系统中与信号存在与否无关的一切干扰。</w:t>
      </w:r>
    </w:p>
    <w:p>
      <w:pPr>
        <w:adjustRightInd w:val="0"/>
        <w:snapToGrid w:val="0"/>
        <w:spacing w:line="300" w:lineRule="auto"/>
        <w:ind w:firstLine="480" w:firstLineChars="200"/>
        <w:rPr>
          <w:rFonts w:ascii="宋体" w:hAnsi="宋体" w:cs="宋体"/>
          <w:sz w:val="24"/>
        </w:rPr>
      </w:pPr>
      <w:r>
        <w:rPr>
          <w:rFonts w:hint="eastAsia" w:ascii="宋体" w:hAnsi="宋体" w:cs="宋体"/>
          <w:sz w:val="24"/>
        </w:rPr>
        <w:t>[</w:t>
      </w:r>
      <w:r>
        <w:rPr>
          <w:sz w:val="24"/>
        </w:rPr>
        <w:t>GB/T 3947</w:t>
      </w:r>
      <w:r>
        <w:rPr>
          <w:rFonts w:hint="eastAsia"/>
          <w:sz w:val="24"/>
        </w:rPr>
        <w:t>—</w:t>
      </w:r>
      <w:r>
        <w:rPr>
          <w:sz w:val="24"/>
        </w:rPr>
        <w:t>1996</w:t>
      </w:r>
      <w:r>
        <w:rPr>
          <w:rFonts w:hint="eastAsia" w:ascii="宋体" w:hAnsi="宋体" w:cs="宋体"/>
          <w:sz w:val="24"/>
        </w:rPr>
        <w:t>，定义</w:t>
      </w:r>
      <w:r>
        <w:rPr>
          <w:sz w:val="24"/>
        </w:rPr>
        <w:t>2.16</w:t>
      </w:r>
      <w:r>
        <w:rPr>
          <w:rFonts w:hint="eastAsia" w:ascii="宋体" w:hAnsi="宋体" w:cs="宋体"/>
          <w:sz w:val="24"/>
        </w:rPr>
        <w:t>]</w:t>
      </w:r>
    </w:p>
    <w:p>
      <w:pPr>
        <w:adjustRightInd w:val="0"/>
        <w:snapToGrid w:val="0"/>
        <w:spacing w:line="300" w:lineRule="auto"/>
        <w:ind w:firstLine="420" w:firstLineChars="200"/>
        <w:rPr>
          <w:sz w:val="24"/>
        </w:rPr>
      </w:pPr>
      <w:r>
        <w:rPr>
          <w:color w:val="000000"/>
          <w:szCs w:val="21"/>
        </w:rPr>
        <w:t>注</w:t>
      </w:r>
      <w:r>
        <w:rPr>
          <w:rFonts w:hint="eastAsia"/>
          <w:color w:val="000000"/>
          <w:szCs w:val="21"/>
        </w:rPr>
        <w:t>：背景噪声单位为分贝（dB）。</w:t>
      </w:r>
    </w:p>
    <w:p>
      <w:pPr>
        <w:pStyle w:val="9"/>
        <w:numPr>
          <w:ilvl w:val="2"/>
          <w:numId w:val="5"/>
        </w:numPr>
        <w:tabs>
          <w:tab w:val="left" w:pos="840"/>
          <w:tab w:val="clear" w:pos="720"/>
        </w:tabs>
        <w:spacing w:line="300" w:lineRule="auto"/>
        <w:ind w:left="0" w:firstLine="0"/>
        <w:rPr>
          <w:sz w:val="24"/>
        </w:rPr>
      </w:pPr>
      <w:r>
        <w:rPr>
          <w:rFonts w:hint="eastAsia"/>
          <w:sz w:val="24"/>
        </w:rPr>
        <w:t>声压级差 sound level difference</w:t>
      </w:r>
    </w:p>
    <w:p>
      <w:pPr>
        <w:adjustRightInd w:val="0"/>
        <w:snapToGrid w:val="0"/>
        <w:spacing w:line="300" w:lineRule="auto"/>
        <w:ind w:firstLine="480" w:firstLineChars="200"/>
        <w:rPr>
          <w:i/>
          <w:iCs/>
          <w:sz w:val="24"/>
          <w:szCs w:val="22"/>
        </w:rPr>
      </w:pPr>
      <w:r>
        <w:rPr>
          <w:rFonts w:hint="eastAsia"/>
          <w:i/>
          <w:iCs/>
          <w:sz w:val="24"/>
          <w:szCs w:val="22"/>
        </w:rPr>
        <w:t>D</w:t>
      </w:r>
    </w:p>
    <w:p>
      <w:pPr>
        <w:adjustRightInd w:val="0"/>
        <w:snapToGrid w:val="0"/>
        <w:spacing w:line="300" w:lineRule="auto"/>
        <w:ind w:firstLine="480" w:firstLineChars="200"/>
        <w:rPr>
          <w:sz w:val="24"/>
        </w:rPr>
      </w:pPr>
      <w:r>
        <w:rPr>
          <w:rFonts w:hint="eastAsia"/>
          <w:sz w:val="24"/>
        </w:rPr>
        <w:t>声源室内有一个或多个声源时，声源室和接收室之间的室内平均声压级之差。</w:t>
      </w:r>
    </w:p>
    <w:p>
      <w:pPr>
        <w:adjustRightInd w:val="0"/>
        <w:snapToGrid w:val="0"/>
        <w:spacing w:line="300" w:lineRule="auto"/>
        <w:ind w:firstLine="480" w:firstLineChars="200"/>
        <w:rPr>
          <w:sz w:val="24"/>
          <w:szCs w:val="22"/>
        </w:rPr>
      </w:pPr>
      <w:r>
        <w:rPr>
          <w:rFonts w:hint="eastAsia" w:ascii="宋体" w:hAnsi="宋体" w:cs="宋体"/>
          <w:sz w:val="24"/>
        </w:rPr>
        <w:t>[</w:t>
      </w:r>
      <w:r>
        <w:rPr>
          <w:rFonts w:hint="eastAsia"/>
          <w:sz w:val="24"/>
        </w:rPr>
        <w:t>GB/T 19889.1—2026</w:t>
      </w:r>
      <w:r>
        <w:rPr>
          <w:rFonts w:hint="eastAsia" w:ascii="宋体" w:hAnsi="宋体" w:cs="宋体"/>
          <w:sz w:val="24"/>
        </w:rPr>
        <w:t>，定义</w:t>
      </w:r>
      <w:r>
        <w:rPr>
          <w:rFonts w:hint="eastAsia"/>
          <w:sz w:val="24"/>
        </w:rPr>
        <w:t>3</w:t>
      </w:r>
      <w:r>
        <w:rPr>
          <w:sz w:val="24"/>
        </w:rPr>
        <w:t>.1</w:t>
      </w:r>
      <w:r>
        <w:rPr>
          <w:rFonts w:hint="eastAsia"/>
          <w:sz w:val="24"/>
        </w:rPr>
        <w:t>2</w:t>
      </w:r>
      <w:r>
        <w:rPr>
          <w:rFonts w:hint="eastAsia" w:ascii="宋体" w:hAnsi="宋体" w:cs="宋体"/>
          <w:sz w:val="24"/>
        </w:rPr>
        <w:t>]</w:t>
      </w:r>
    </w:p>
    <w:p>
      <w:pPr>
        <w:adjustRightInd w:val="0"/>
        <w:snapToGrid w:val="0"/>
        <w:spacing w:line="300" w:lineRule="auto"/>
        <w:ind w:firstLine="420" w:firstLineChars="200"/>
        <w:rPr>
          <w:sz w:val="24"/>
        </w:rPr>
      </w:pPr>
      <w:r>
        <w:rPr>
          <w:color w:val="000000"/>
          <w:szCs w:val="21"/>
        </w:rPr>
        <w:t>注</w:t>
      </w:r>
      <w:r>
        <w:rPr>
          <w:rFonts w:hint="eastAsia"/>
          <w:color w:val="000000"/>
          <w:szCs w:val="21"/>
        </w:rPr>
        <w:t>：声压级差单位为分贝（dB）。</w:t>
      </w:r>
    </w:p>
    <w:p>
      <w:pPr>
        <w:pStyle w:val="9"/>
        <w:numPr>
          <w:ilvl w:val="2"/>
          <w:numId w:val="5"/>
        </w:numPr>
        <w:tabs>
          <w:tab w:val="left" w:pos="840"/>
          <w:tab w:val="clear" w:pos="720"/>
        </w:tabs>
        <w:spacing w:line="300" w:lineRule="auto"/>
        <w:ind w:left="0" w:firstLine="0"/>
        <w:rPr>
          <w:sz w:val="24"/>
        </w:rPr>
      </w:pPr>
      <w:r>
        <w:rPr>
          <w:rFonts w:hint="eastAsia"/>
          <w:sz w:val="24"/>
        </w:rPr>
        <w:t xml:space="preserve">撞击声压级 impact sound pressure level </w:t>
      </w:r>
    </w:p>
    <w:p>
      <w:pPr>
        <w:adjustRightInd w:val="0"/>
        <w:snapToGrid w:val="0"/>
        <w:spacing w:line="300" w:lineRule="auto"/>
        <w:ind w:firstLine="480" w:firstLineChars="200"/>
        <w:rPr>
          <w:i/>
          <w:iCs/>
          <w:sz w:val="24"/>
          <w:szCs w:val="22"/>
        </w:rPr>
      </w:pPr>
      <w:r>
        <w:rPr>
          <w:rFonts w:hint="eastAsia"/>
          <w:i/>
          <w:iCs/>
          <w:sz w:val="24"/>
          <w:szCs w:val="22"/>
        </w:rPr>
        <w:t>L</w:t>
      </w:r>
      <w:r>
        <w:rPr>
          <w:rFonts w:hint="eastAsia"/>
          <w:i/>
          <w:iCs/>
          <w:sz w:val="24"/>
          <w:szCs w:val="22"/>
          <w:vertAlign w:val="subscript"/>
        </w:rPr>
        <w:t>i</w:t>
      </w:r>
    </w:p>
    <w:p>
      <w:pPr>
        <w:adjustRightInd w:val="0"/>
        <w:snapToGrid w:val="0"/>
        <w:spacing w:line="300" w:lineRule="auto"/>
        <w:ind w:firstLine="480" w:firstLineChars="200"/>
        <w:rPr>
          <w:iCs/>
          <w:sz w:val="24"/>
          <w:szCs w:val="22"/>
        </w:rPr>
      </w:pPr>
      <w:r>
        <w:rPr>
          <w:rFonts w:hint="eastAsia"/>
          <w:iCs/>
          <w:sz w:val="24"/>
          <w:szCs w:val="22"/>
        </w:rPr>
        <w:t>当被测楼板由标准撞击声源激励时，在接收室内测得的1/3倍频程平均声压级。</w:t>
      </w:r>
    </w:p>
    <w:p>
      <w:pPr>
        <w:adjustRightInd w:val="0"/>
        <w:snapToGrid w:val="0"/>
        <w:spacing w:line="300" w:lineRule="auto"/>
        <w:ind w:firstLine="480" w:firstLineChars="200"/>
        <w:rPr>
          <w:sz w:val="24"/>
          <w:szCs w:val="22"/>
        </w:rPr>
      </w:pPr>
      <w:r>
        <w:rPr>
          <w:rFonts w:hint="eastAsia" w:ascii="宋体" w:hAnsi="宋体" w:cs="宋体"/>
          <w:sz w:val="24"/>
        </w:rPr>
        <w:t>[</w:t>
      </w:r>
      <w:r>
        <w:rPr>
          <w:rFonts w:hint="eastAsia"/>
          <w:sz w:val="24"/>
        </w:rPr>
        <w:t>JJF 1034—2020</w:t>
      </w:r>
      <w:r>
        <w:rPr>
          <w:rFonts w:hint="eastAsia" w:ascii="宋体" w:hAnsi="宋体" w:cs="宋体"/>
          <w:sz w:val="24"/>
        </w:rPr>
        <w:t>，定义</w:t>
      </w:r>
      <w:r>
        <w:rPr>
          <w:rFonts w:hint="eastAsia"/>
          <w:sz w:val="24"/>
        </w:rPr>
        <w:t>8</w:t>
      </w:r>
      <w:r>
        <w:rPr>
          <w:sz w:val="24"/>
        </w:rPr>
        <w:t>.</w:t>
      </w:r>
      <w:r>
        <w:rPr>
          <w:rFonts w:hint="eastAsia"/>
          <w:sz w:val="24"/>
        </w:rPr>
        <w:t>32</w:t>
      </w:r>
      <w:r>
        <w:rPr>
          <w:rFonts w:hint="eastAsia" w:ascii="宋体" w:hAnsi="宋体" w:cs="宋体"/>
          <w:sz w:val="24"/>
        </w:rPr>
        <w:t>]</w:t>
      </w:r>
    </w:p>
    <w:p>
      <w:pPr>
        <w:adjustRightInd w:val="0"/>
        <w:snapToGrid w:val="0"/>
        <w:spacing w:line="300" w:lineRule="auto"/>
        <w:ind w:firstLine="420" w:firstLineChars="200"/>
        <w:rPr>
          <w:sz w:val="24"/>
        </w:rPr>
      </w:pPr>
      <w:r>
        <w:rPr>
          <w:color w:val="000000"/>
          <w:szCs w:val="21"/>
        </w:rPr>
        <w:t>注</w:t>
      </w:r>
      <w:r>
        <w:rPr>
          <w:rFonts w:hint="eastAsia"/>
          <w:color w:val="000000"/>
          <w:szCs w:val="21"/>
        </w:rPr>
        <w:t>：撞击声压级单位为分贝（dB）。</w:t>
      </w:r>
    </w:p>
    <w:p>
      <w:pPr>
        <w:pStyle w:val="2"/>
        <w:numPr>
          <w:ilvl w:val="0"/>
          <w:numId w:val="4"/>
        </w:numPr>
        <w:spacing w:beforeLines="50" w:afterLines="50" w:line="300" w:lineRule="auto"/>
        <w:ind w:left="0" w:firstLine="0"/>
        <w:rPr>
          <w:rFonts w:ascii="黑体" w:hAnsi="Times New Roman" w:eastAsia="黑体"/>
          <w:b w:val="0"/>
        </w:rPr>
      </w:pPr>
      <w:bookmarkStart w:id="31" w:name="_Toc7732"/>
      <w:bookmarkStart w:id="32" w:name="_Toc239491053"/>
      <w:bookmarkStart w:id="33" w:name="_Toc6298"/>
      <w:bookmarkStart w:id="34" w:name="_Toc15305"/>
      <w:bookmarkStart w:id="35" w:name="_Toc16074"/>
      <w:r>
        <w:rPr>
          <w:rFonts w:hint="eastAsia" w:ascii="黑体" w:hAnsi="Times New Roman" w:eastAsia="黑体"/>
          <w:b w:val="0"/>
        </w:rPr>
        <w:t>概述</w:t>
      </w:r>
      <w:bookmarkEnd w:id="31"/>
      <w:bookmarkEnd w:id="32"/>
      <w:bookmarkEnd w:id="33"/>
      <w:bookmarkEnd w:id="34"/>
      <w:bookmarkEnd w:id="35"/>
    </w:p>
    <w:p>
      <w:pPr>
        <w:adjustRightInd w:val="0"/>
        <w:snapToGrid w:val="0"/>
        <w:spacing w:line="300" w:lineRule="auto"/>
        <w:ind w:firstLine="480" w:firstLineChars="200"/>
        <w:rPr>
          <w:sz w:val="24"/>
        </w:rPr>
      </w:pPr>
      <w:r>
        <w:rPr>
          <w:rFonts w:hint="eastAsia"/>
          <w:sz w:val="24"/>
        </w:rPr>
        <w:t>试听室是一个集声学设计、设备配置和装修装饰于一体的专业房间，旨在为声音设备或产品的音质评价提供一个稳定、准确的声学环境，主要用于对电声产品、设备、系统进行听感试验和评价，随着人工智能（AI）技术的飞速发展，试听室在语音识别测试、研发方面的应用也愈发重要。</w:t>
      </w:r>
    </w:p>
    <w:p>
      <w:pPr>
        <w:adjustRightInd w:val="0"/>
        <w:snapToGrid w:val="0"/>
        <w:spacing w:line="300" w:lineRule="auto"/>
        <w:ind w:firstLine="480" w:firstLineChars="200"/>
        <w:rPr>
          <w:sz w:val="24"/>
        </w:rPr>
      </w:pPr>
      <w:r>
        <w:rPr>
          <w:rFonts w:hint="eastAsia"/>
          <w:sz w:val="24"/>
        </w:rPr>
        <w:t>试听室需要具备良好的隔声性能，应采用特殊构造和工艺提高隔声能力的门窗以减少外界噪声的干扰。同时采用吸声材料（如聚酯纤维板）与吸声构造以控制混响时间和提高音质。试听室的声场分布应均匀，以保证在不同区域听到的声音响度基本一致，这有助于准确评价声音设备的音质和性能。</w:t>
      </w:r>
    </w:p>
    <w:p>
      <w:pPr>
        <w:pStyle w:val="2"/>
        <w:numPr>
          <w:ilvl w:val="0"/>
          <w:numId w:val="4"/>
        </w:numPr>
        <w:spacing w:beforeLines="50" w:afterLines="50" w:line="300" w:lineRule="auto"/>
        <w:ind w:left="0" w:firstLine="0"/>
        <w:rPr>
          <w:rFonts w:ascii="黑体" w:hAnsi="Times New Roman" w:eastAsia="黑体"/>
          <w:b w:val="0"/>
        </w:rPr>
      </w:pPr>
      <w:bookmarkStart w:id="36" w:name="_Toc16449"/>
      <w:bookmarkStart w:id="37" w:name="_Toc9002"/>
      <w:bookmarkStart w:id="38" w:name="_Toc27872"/>
      <w:bookmarkStart w:id="39" w:name="_Toc646"/>
      <w:bookmarkStart w:id="40" w:name="_Toc239491054"/>
      <w:r>
        <w:rPr>
          <w:rFonts w:ascii="黑体" w:hAnsi="Times New Roman" w:eastAsia="黑体"/>
          <w:b w:val="0"/>
        </w:rPr>
        <w:t>计量性能要求</w:t>
      </w:r>
      <w:bookmarkEnd w:id="36"/>
      <w:bookmarkEnd w:id="37"/>
      <w:bookmarkEnd w:id="38"/>
      <w:bookmarkEnd w:id="39"/>
      <w:bookmarkEnd w:id="40"/>
    </w:p>
    <w:p>
      <w:pPr>
        <w:pStyle w:val="3"/>
        <w:numPr>
          <w:ilvl w:val="1"/>
          <w:numId w:val="6"/>
        </w:numPr>
        <w:tabs>
          <w:tab w:val="left" w:pos="630"/>
          <w:tab w:val="clear" w:pos="360"/>
        </w:tabs>
        <w:spacing w:line="300" w:lineRule="auto"/>
      </w:pPr>
      <w:bookmarkStart w:id="41" w:name="_Toc17329"/>
      <w:bookmarkStart w:id="42" w:name="_Toc31112"/>
      <w:r>
        <w:rPr>
          <w:rFonts w:hint="eastAsia"/>
        </w:rPr>
        <w:t>混响时间</w:t>
      </w:r>
      <w:bookmarkEnd w:id="41"/>
    </w:p>
    <w:p>
      <w:pPr>
        <w:adjustRightInd w:val="0"/>
        <w:snapToGrid w:val="0"/>
        <w:spacing w:line="300" w:lineRule="auto"/>
        <w:ind w:firstLine="480" w:firstLineChars="200"/>
        <w:rPr>
          <w:sz w:val="24"/>
        </w:rPr>
      </w:pPr>
      <w:r>
        <w:rPr>
          <w:rFonts w:hint="eastAsia"/>
          <w:sz w:val="24"/>
        </w:rPr>
        <w:t>试听室测量1/3倍频程频率范围内，200 Hz ~ 4000 Hz每个1/3倍频带不同测点测得的混响时间平均值一般不超出0.30 s ~ 0.60 s，4000 Hz以上每个1/3倍频带不同测点测得的混响时间平均值一般不超出0.25 s ~ 0.65 s，200 Hz以下每个1/3倍频带不同测点测得的混响时间平均值一般不大于0.75 s；混响时间的技术要求也可由厂家给出。</w:t>
      </w:r>
    </w:p>
    <w:p>
      <w:pPr>
        <w:adjustRightInd w:val="0"/>
        <w:snapToGrid w:val="0"/>
        <w:spacing w:line="300" w:lineRule="auto"/>
        <w:ind w:firstLine="420" w:firstLineChars="200"/>
        <w:rPr>
          <w:color w:val="000000"/>
          <w:szCs w:val="21"/>
        </w:rPr>
      </w:pPr>
      <w:r>
        <w:rPr>
          <w:color w:val="000000"/>
          <w:szCs w:val="21"/>
        </w:rPr>
        <w:t>注</w:t>
      </w:r>
      <w:r>
        <w:rPr>
          <w:rFonts w:hint="eastAsia"/>
          <w:color w:val="000000"/>
          <w:szCs w:val="21"/>
        </w:rPr>
        <w:t>：当按倍频程进行测量时，参考以上技术要求。</w:t>
      </w:r>
    </w:p>
    <w:bookmarkEnd w:id="42"/>
    <w:p>
      <w:pPr>
        <w:pStyle w:val="3"/>
        <w:numPr>
          <w:ilvl w:val="1"/>
          <w:numId w:val="6"/>
        </w:numPr>
        <w:tabs>
          <w:tab w:val="left" w:pos="630"/>
          <w:tab w:val="clear" w:pos="360"/>
        </w:tabs>
        <w:spacing w:line="300" w:lineRule="auto"/>
      </w:pPr>
      <w:bookmarkStart w:id="43" w:name="_Toc4472"/>
      <w:r>
        <w:rPr>
          <w:rFonts w:hint="eastAsia"/>
        </w:rPr>
        <w:t>声压级均匀性</w:t>
      </w:r>
      <w:bookmarkEnd w:id="43"/>
    </w:p>
    <w:p>
      <w:pPr>
        <w:adjustRightInd w:val="0"/>
        <w:snapToGrid w:val="0"/>
        <w:spacing w:line="300" w:lineRule="auto"/>
        <w:ind w:firstLine="480" w:firstLineChars="200"/>
      </w:pPr>
      <w:bookmarkStart w:id="44" w:name="_Toc239491059"/>
      <w:r>
        <w:rPr>
          <w:rFonts w:hint="eastAsia"/>
          <w:sz w:val="24"/>
        </w:rPr>
        <w:t>试听室试听区域内的声压级均匀性用室内声压级的标准偏差</w:t>
      </w:r>
      <w:r>
        <w:rPr>
          <w:rFonts w:hint="eastAsia"/>
          <w:i/>
          <w:iCs/>
          <w:sz w:val="24"/>
          <w:szCs w:val="22"/>
        </w:rPr>
        <w:t>S</w:t>
      </w:r>
      <w:r>
        <w:rPr>
          <w:rFonts w:hint="eastAsia"/>
          <w:sz w:val="24"/>
          <w:szCs w:val="22"/>
          <w:vertAlign w:val="subscript"/>
        </w:rPr>
        <w:t>m</w:t>
      </w:r>
      <w:r>
        <w:rPr>
          <w:rFonts w:hint="eastAsia"/>
          <w:sz w:val="24"/>
        </w:rPr>
        <w:t>表示，在100 Hz ~ 315 Hz频率范围内，一般不大于5.0 dB，400 Hz及以上频率范围内，一般不大于3.0 dB。</w:t>
      </w:r>
    </w:p>
    <w:p>
      <w:pPr>
        <w:pStyle w:val="3"/>
        <w:numPr>
          <w:ilvl w:val="1"/>
          <w:numId w:val="6"/>
        </w:numPr>
        <w:tabs>
          <w:tab w:val="left" w:pos="630"/>
          <w:tab w:val="clear" w:pos="360"/>
        </w:tabs>
        <w:spacing w:line="300" w:lineRule="auto"/>
      </w:pPr>
      <w:bookmarkStart w:id="45" w:name="_Toc8510"/>
      <w:r>
        <w:rPr>
          <w:rFonts w:hint="eastAsia"/>
        </w:rPr>
        <w:t>背景噪声</w:t>
      </w:r>
      <w:bookmarkEnd w:id="45"/>
    </w:p>
    <w:p>
      <w:pPr>
        <w:adjustRightInd w:val="0"/>
        <w:snapToGrid w:val="0"/>
        <w:spacing w:line="300" w:lineRule="auto"/>
        <w:ind w:firstLine="480" w:firstLineChars="200"/>
      </w:pPr>
      <w:r>
        <w:rPr>
          <w:rFonts w:hint="eastAsia"/>
          <w:sz w:val="24"/>
        </w:rPr>
        <w:t>背景噪声不应是冲击性、周期性或有音调感觉的，A计权时间平均声级一般不超过25 dB。</w:t>
      </w:r>
    </w:p>
    <w:p>
      <w:pPr>
        <w:pStyle w:val="3"/>
        <w:numPr>
          <w:ilvl w:val="1"/>
          <w:numId w:val="6"/>
        </w:numPr>
        <w:tabs>
          <w:tab w:val="left" w:pos="630"/>
          <w:tab w:val="clear" w:pos="360"/>
        </w:tabs>
        <w:spacing w:line="300" w:lineRule="auto"/>
        <w:rPr>
          <w:szCs w:val="24"/>
        </w:rPr>
      </w:pPr>
      <w:bookmarkStart w:id="46" w:name="_Toc16328"/>
      <w:r>
        <w:rPr>
          <w:rFonts w:hint="eastAsia"/>
          <w:szCs w:val="24"/>
        </w:rPr>
        <w:t>隔声性能</w:t>
      </w:r>
      <w:bookmarkEnd w:id="46"/>
    </w:p>
    <w:p>
      <w:pPr>
        <w:adjustRightInd w:val="0"/>
        <w:snapToGrid w:val="0"/>
        <w:spacing w:line="300" w:lineRule="auto"/>
        <w:ind w:firstLine="480" w:firstLineChars="200"/>
        <w:rPr>
          <w:sz w:val="24"/>
        </w:rPr>
      </w:pPr>
      <w:r>
        <w:rPr>
          <w:rFonts w:hint="eastAsia"/>
          <w:sz w:val="24"/>
        </w:rPr>
        <w:t>试听室需要对室外的环境噪声进行有效隔离控制，试听室与观察室（或称控制室）间的计权标准化声压级差</w:t>
      </w:r>
      <w:r>
        <w:rPr>
          <w:rFonts w:hint="eastAsia"/>
          <w:i/>
          <w:iCs/>
          <w:sz w:val="24"/>
        </w:rPr>
        <w:t>D</w:t>
      </w:r>
      <w:r>
        <w:rPr>
          <w:rFonts w:hint="eastAsia"/>
          <w:sz w:val="24"/>
          <w:vertAlign w:val="subscript"/>
        </w:rPr>
        <w:t>nT,w</w:t>
      </w:r>
      <w:r>
        <w:rPr>
          <w:rFonts w:hint="eastAsia"/>
          <w:sz w:val="24"/>
        </w:rPr>
        <w:t>一般不小于35 dB。</w:t>
      </w:r>
    </w:p>
    <w:p>
      <w:pPr>
        <w:pStyle w:val="3"/>
        <w:numPr>
          <w:ilvl w:val="1"/>
          <w:numId w:val="6"/>
        </w:numPr>
        <w:tabs>
          <w:tab w:val="left" w:pos="630"/>
          <w:tab w:val="clear" w:pos="360"/>
        </w:tabs>
        <w:spacing w:line="300" w:lineRule="auto"/>
        <w:rPr>
          <w:szCs w:val="24"/>
        </w:rPr>
      </w:pPr>
      <w:bookmarkStart w:id="47" w:name="_Toc3852"/>
      <w:r>
        <w:rPr>
          <w:rFonts w:hint="eastAsia"/>
          <w:szCs w:val="24"/>
        </w:rPr>
        <w:t>撞击声压级</w:t>
      </w:r>
      <w:bookmarkEnd w:id="47"/>
    </w:p>
    <w:p>
      <w:pPr>
        <w:adjustRightInd w:val="0"/>
        <w:snapToGrid w:val="0"/>
        <w:spacing w:line="300" w:lineRule="auto"/>
        <w:ind w:firstLine="480" w:firstLineChars="200"/>
        <w:rPr>
          <w:sz w:val="24"/>
        </w:rPr>
      </w:pPr>
      <w:r>
        <w:rPr>
          <w:rFonts w:hint="eastAsia"/>
          <w:sz w:val="24"/>
        </w:rPr>
        <w:t>试听室顶部楼板的计权标准化撞击声压级</w:t>
      </w:r>
      <w:r>
        <w:rPr>
          <w:rFonts w:hint="eastAsia"/>
          <w:i/>
          <w:iCs/>
          <w:sz w:val="24"/>
        </w:rPr>
        <w:t>L</w:t>
      </w:r>
      <w:r>
        <w:rPr>
          <w:rFonts w:hint="eastAsia" w:ascii="宋体" w:hAnsi="宋体" w:cs="宋体"/>
          <w:sz w:val="24"/>
          <w:vertAlign w:val="superscript"/>
        </w:rPr>
        <w:t>＇</w:t>
      </w:r>
      <w:r>
        <w:rPr>
          <w:rFonts w:hint="eastAsia"/>
          <w:sz w:val="24"/>
          <w:vertAlign w:val="subscript"/>
        </w:rPr>
        <w:t>nT,w</w:t>
      </w:r>
      <w:r>
        <w:rPr>
          <w:rFonts w:hint="eastAsia"/>
          <w:sz w:val="24"/>
        </w:rPr>
        <w:t>一般不大于40 dB。</w:t>
      </w:r>
    </w:p>
    <w:p>
      <w:pPr>
        <w:adjustRightInd w:val="0"/>
        <w:snapToGrid w:val="0"/>
        <w:spacing w:line="300" w:lineRule="auto"/>
        <w:ind w:firstLine="420" w:firstLineChars="200"/>
        <w:rPr>
          <w:color w:val="000000"/>
          <w:szCs w:val="21"/>
        </w:rPr>
      </w:pPr>
      <w:r>
        <w:rPr>
          <w:color w:val="000000"/>
          <w:szCs w:val="21"/>
        </w:rPr>
        <w:t>注</w:t>
      </w:r>
      <w:r>
        <w:rPr>
          <w:rFonts w:hint="eastAsia"/>
          <w:color w:val="000000"/>
          <w:szCs w:val="21"/>
        </w:rPr>
        <w:t>：如适用时，可进行撞击声压级测试。</w:t>
      </w:r>
    </w:p>
    <w:p>
      <w:pPr>
        <w:adjustRightInd w:val="0"/>
        <w:snapToGrid w:val="0"/>
        <w:spacing w:line="300" w:lineRule="auto"/>
        <w:ind w:firstLine="420" w:firstLineChars="200"/>
        <w:rPr>
          <w:color w:val="000000"/>
          <w:szCs w:val="21"/>
        </w:rPr>
      </w:pPr>
    </w:p>
    <w:p>
      <w:pPr>
        <w:adjustRightInd w:val="0"/>
        <w:snapToGrid w:val="0"/>
        <w:spacing w:line="300" w:lineRule="auto"/>
        <w:ind w:firstLine="420" w:firstLineChars="200"/>
        <w:rPr>
          <w:color w:val="000000"/>
          <w:szCs w:val="21"/>
        </w:rPr>
      </w:pPr>
      <w:r>
        <w:rPr>
          <w:color w:val="000000"/>
          <w:szCs w:val="21"/>
        </w:rPr>
        <w:t>注</w:t>
      </w:r>
      <w:r>
        <w:rPr>
          <w:rFonts w:hint="eastAsia"/>
          <w:color w:val="000000"/>
          <w:szCs w:val="21"/>
        </w:rPr>
        <w:t>：以上技术要求不用于合格判定，仅供参考。</w:t>
      </w:r>
    </w:p>
    <w:bookmarkEnd w:id="44"/>
    <w:p>
      <w:pPr>
        <w:pStyle w:val="2"/>
        <w:numPr>
          <w:ilvl w:val="0"/>
          <w:numId w:val="4"/>
        </w:numPr>
        <w:spacing w:beforeLines="50" w:afterLines="50" w:line="300" w:lineRule="auto"/>
        <w:ind w:left="0" w:firstLine="0"/>
      </w:pPr>
      <w:bookmarkStart w:id="48" w:name="_Toc9036"/>
      <w:r>
        <w:rPr>
          <w:rFonts w:hint="eastAsia" w:ascii="黑体" w:hAnsi="Times New Roman" w:eastAsia="黑体"/>
          <w:b w:val="0"/>
        </w:rPr>
        <w:t>测试条件</w:t>
      </w:r>
      <w:bookmarkEnd w:id="48"/>
    </w:p>
    <w:p>
      <w:pPr>
        <w:pStyle w:val="3"/>
        <w:numPr>
          <w:ilvl w:val="1"/>
          <w:numId w:val="7"/>
        </w:numPr>
        <w:tabs>
          <w:tab w:val="left" w:pos="640"/>
          <w:tab w:val="clear" w:pos="360"/>
        </w:tabs>
        <w:spacing w:line="300" w:lineRule="auto"/>
        <w:ind w:left="640" w:hanging="640"/>
      </w:pPr>
      <w:bookmarkStart w:id="49" w:name="_Toc6227"/>
      <w:r>
        <w:rPr>
          <w:szCs w:val="24"/>
        </w:rPr>
        <w:t>环境条件</w:t>
      </w:r>
      <w:bookmarkEnd w:id="49"/>
    </w:p>
    <w:p>
      <w:pPr>
        <w:adjustRightInd w:val="0"/>
        <w:snapToGrid w:val="0"/>
        <w:spacing w:line="300" w:lineRule="auto"/>
        <w:ind w:firstLine="480" w:firstLineChars="200"/>
        <w:rPr>
          <w:sz w:val="24"/>
        </w:rPr>
      </w:pPr>
      <w:bookmarkStart w:id="50" w:name="_Toc120514806"/>
      <w:bookmarkStart w:id="51" w:name="_Toc110135463"/>
      <w:bookmarkStart w:id="52" w:name="_Toc87781847"/>
      <w:bookmarkStart w:id="53" w:name="_Toc87781792"/>
      <w:bookmarkStart w:id="54" w:name="_Toc110138286"/>
      <w:r>
        <w:rPr>
          <w:rFonts w:hint="eastAsia"/>
          <w:sz w:val="24"/>
        </w:rPr>
        <w:t>试听室测试</w:t>
      </w:r>
      <w:r>
        <w:rPr>
          <w:sz w:val="24"/>
        </w:rPr>
        <w:t>环境条件如下：</w:t>
      </w:r>
    </w:p>
    <w:p>
      <w:pPr>
        <w:spacing w:line="300" w:lineRule="auto"/>
        <w:ind w:firstLine="480" w:firstLineChars="200"/>
        <w:rPr>
          <w:sz w:val="24"/>
        </w:rPr>
      </w:pPr>
      <w:r>
        <w:rPr>
          <w:sz w:val="24"/>
        </w:rPr>
        <w:t>——</w:t>
      </w:r>
      <w:r>
        <w:rPr>
          <w:rFonts w:hint="eastAsia"/>
          <w:sz w:val="24"/>
        </w:rPr>
        <w:t>空气</w:t>
      </w:r>
      <w:r>
        <w:rPr>
          <w:sz w:val="24"/>
        </w:rPr>
        <w:t>温度：（</w:t>
      </w:r>
      <w:r>
        <w:rPr>
          <w:rFonts w:hint="eastAsia"/>
          <w:sz w:val="24"/>
        </w:rPr>
        <w:t>23±5</w:t>
      </w:r>
      <w:r>
        <w:rPr>
          <w:sz w:val="24"/>
        </w:rPr>
        <w:t>）℃；</w:t>
      </w:r>
    </w:p>
    <w:p>
      <w:pPr>
        <w:pStyle w:val="41"/>
        <w:spacing w:line="300" w:lineRule="auto"/>
        <w:ind w:firstLine="480"/>
        <w:rPr>
          <w:rFonts w:ascii="Times New Roman"/>
          <w:sz w:val="24"/>
          <w:szCs w:val="24"/>
        </w:rPr>
      </w:pPr>
      <w:r>
        <w:rPr>
          <w:rFonts w:ascii="Times New Roman"/>
          <w:sz w:val="24"/>
          <w:szCs w:val="24"/>
        </w:rPr>
        <w:t>——</w:t>
      </w:r>
      <w:r>
        <w:rPr>
          <w:rFonts w:hint="eastAsia" w:ascii="Times New Roman"/>
          <w:sz w:val="24"/>
          <w:szCs w:val="24"/>
        </w:rPr>
        <w:t>相对</w:t>
      </w:r>
      <w:r>
        <w:rPr>
          <w:rFonts w:ascii="Times New Roman"/>
          <w:sz w:val="24"/>
          <w:szCs w:val="24"/>
        </w:rPr>
        <w:t xml:space="preserve">湿度：25%~75%； </w:t>
      </w:r>
    </w:p>
    <w:p>
      <w:pPr>
        <w:pStyle w:val="41"/>
        <w:spacing w:line="300" w:lineRule="auto"/>
        <w:ind w:firstLine="480"/>
        <w:rPr>
          <w:rFonts w:ascii="Times New Roman"/>
          <w:sz w:val="24"/>
          <w:szCs w:val="24"/>
        </w:rPr>
      </w:pPr>
      <w:r>
        <w:rPr>
          <w:rFonts w:ascii="Times New Roman"/>
          <w:sz w:val="24"/>
          <w:szCs w:val="24"/>
        </w:rPr>
        <w:t>——静压：（8</w:t>
      </w:r>
      <w:r>
        <w:rPr>
          <w:rFonts w:hint="eastAsia" w:ascii="Times New Roman"/>
          <w:sz w:val="24"/>
          <w:szCs w:val="24"/>
        </w:rPr>
        <w:t>6</w:t>
      </w:r>
      <w:r>
        <w:rPr>
          <w:rFonts w:ascii="Times New Roman"/>
          <w:sz w:val="24"/>
        </w:rPr>
        <w:t>～</w:t>
      </w:r>
      <w:r>
        <w:rPr>
          <w:rFonts w:ascii="Times New Roman"/>
          <w:sz w:val="24"/>
          <w:szCs w:val="24"/>
        </w:rPr>
        <w:t>10</w:t>
      </w:r>
      <w:r>
        <w:rPr>
          <w:rFonts w:hint="eastAsia" w:ascii="Times New Roman"/>
          <w:sz w:val="24"/>
          <w:szCs w:val="24"/>
        </w:rPr>
        <w:t>6</w:t>
      </w:r>
      <w:r>
        <w:rPr>
          <w:rFonts w:ascii="Times New Roman"/>
          <w:sz w:val="24"/>
          <w:szCs w:val="24"/>
        </w:rPr>
        <w:t>）kPa。</w:t>
      </w:r>
    </w:p>
    <w:p>
      <w:pPr>
        <w:pStyle w:val="3"/>
        <w:numPr>
          <w:ilvl w:val="1"/>
          <w:numId w:val="7"/>
        </w:numPr>
        <w:tabs>
          <w:tab w:val="left" w:pos="630"/>
          <w:tab w:val="clear" w:pos="360"/>
        </w:tabs>
        <w:spacing w:line="300" w:lineRule="auto"/>
      </w:pPr>
      <w:bookmarkStart w:id="55" w:name="_Toc15381"/>
      <w:r>
        <w:rPr>
          <w:rFonts w:hint="eastAsia"/>
          <w:szCs w:val="24"/>
        </w:rPr>
        <w:t>测量</w:t>
      </w:r>
      <w:r>
        <w:rPr>
          <w:szCs w:val="24"/>
        </w:rPr>
        <w:t>标准及</w:t>
      </w:r>
      <w:r>
        <w:rPr>
          <w:rFonts w:hint="eastAsia"/>
          <w:szCs w:val="24"/>
        </w:rPr>
        <w:t>其他</w:t>
      </w:r>
      <w:r>
        <w:rPr>
          <w:szCs w:val="24"/>
        </w:rPr>
        <w:t>设备</w:t>
      </w:r>
      <w:bookmarkEnd w:id="55"/>
    </w:p>
    <w:bookmarkEnd w:id="50"/>
    <w:bookmarkEnd w:id="51"/>
    <w:bookmarkEnd w:id="52"/>
    <w:bookmarkEnd w:id="53"/>
    <w:bookmarkEnd w:id="54"/>
    <w:p>
      <w:pPr>
        <w:numPr>
          <w:ilvl w:val="0"/>
          <w:numId w:val="8"/>
        </w:numPr>
        <w:spacing w:line="300" w:lineRule="auto"/>
        <w:ind w:left="0" w:firstLine="480" w:firstLineChars="200"/>
        <w:rPr>
          <w:sz w:val="24"/>
        </w:rPr>
      </w:pPr>
      <w:r>
        <w:rPr>
          <w:rFonts w:hint="eastAsia"/>
          <w:sz w:val="24"/>
        </w:rPr>
        <w:t>声校准器</w:t>
      </w:r>
      <w:r>
        <w:rPr>
          <w:sz w:val="24"/>
        </w:rPr>
        <w:t>：</w:t>
      </w:r>
      <w:r>
        <w:rPr>
          <w:rFonts w:hint="eastAsia"/>
          <w:sz w:val="24"/>
        </w:rPr>
        <w:t>性能等级应符合JJG 176中规定的1级。</w:t>
      </w:r>
    </w:p>
    <w:p>
      <w:pPr>
        <w:numPr>
          <w:ilvl w:val="0"/>
          <w:numId w:val="8"/>
        </w:numPr>
        <w:spacing w:line="300" w:lineRule="auto"/>
        <w:ind w:left="0" w:firstLine="480" w:firstLineChars="200"/>
        <w:rPr>
          <w:sz w:val="24"/>
        </w:rPr>
      </w:pPr>
      <w:r>
        <w:rPr>
          <w:rFonts w:hint="eastAsia"/>
          <w:sz w:val="24"/>
        </w:rPr>
        <w:t>声频信号发生器：频率范围至少为100 Hz ~ 8000 Hz，频率误差不应超过±0.25%，输出信号总失真不大于0.1%，白噪声频谱均匀性：在测量频率范围内不超过2.0 dB，粉红噪声频谱均匀性：在测量频率范围内不超过3.0 dB。</w:t>
      </w:r>
    </w:p>
    <w:p>
      <w:pPr>
        <w:numPr>
          <w:ilvl w:val="0"/>
          <w:numId w:val="8"/>
        </w:numPr>
        <w:spacing w:line="300" w:lineRule="auto"/>
        <w:ind w:left="0" w:firstLine="480" w:firstLineChars="200"/>
        <w:rPr>
          <w:sz w:val="24"/>
        </w:rPr>
      </w:pPr>
      <w:r>
        <w:rPr>
          <w:rFonts w:hint="eastAsia"/>
          <w:sz w:val="24"/>
        </w:rPr>
        <w:t>声分析仪：频率范围至少为100 Hz ~ 8000 Hz，频率响应优于±0.3 dB，频率计权性能满足JJF 1288的要求。</w:t>
      </w:r>
    </w:p>
    <w:p>
      <w:pPr>
        <w:numPr>
          <w:ilvl w:val="0"/>
          <w:numId w:val="8"/>
        </w:numPr>
        <w:spacing w:line="300" w:lineRule="auto"/>
        <w:ind w:left="0" w:firstLine="480" w:firstLineChars="200"/>
        <w:rPr>
          <w:color w:val="000000"/>
          <w:kern w:val="0"/>
          <w:sz w:val="24"/>
          <w:szCs w:val="46"/>
        </w:rPr>
      </w:pPr>
      <w:r>
        <w:rPr>
          <w:rFonts w:hint="eastAsia" w:hAnsi="宋体"/>
          <w:sz w:val="24"/>
        </w:rPr>
        <w:t>声频功率放大器</w:t>
      </w:r>
      <w:r>
        <w:rPr>
          <w:rFonts w:hAnsi="宋体"/>
          <w:sz w:val="24"/>
        </w:rPr>
        <w:t>：</w:t>
      </w:r>
      <w:r>
        <w:rPr>
          <w:rFonts w:hint="eastAsia" w:hAnsi="宋体"/>
          <w:sz w:val="24"/>
        </w:rPr>
        <w:t>测量频率范围内，频率响应不应超过</w:t>
      </w:r>
      <w:r>
        <w:rPr>
          <w:rFonts w:hint="eastAsia"/>
          <w:sz w:val="24"/>
        </w:rPr>
        <w:t>±0.20 dB，总失真小于0.5%。</w:t>
      </w:r>
    </w:p>
    <w:p>
      <w:pPr>
        <w:numPr>
          <w:ilvl w:val="0"/>
          <w:numId w:val="8"/>
        </w:numPr>
        <w:spacing w:line="300" w:lineRule="auto"/>
        <w:ind w:left="0" w:firstLine="480" w:firstLineChars="200"/>
        <w:rPr>
          <w:sz w:val="24"/>
        </w:rPr>
      </w:pPr>
      <w:r>
        <w:rPr>
          <w:rFonts w:hint="eastAsia"/>
          <w:kern w:val="0"/>
          <w:sz w:val="24"/>
          <w:szCs w:val="46"/>
        </w:rPr>
        <w:t>工作标准传声器</w:t>
      </w:r>
      <w:r>
        <w:rPr>
          <w:kern w:val="0"/>
          <w:sz w:val="24"/>
          <w:szCs w:val="46"/>
        </w:rPr>
        <w:t>：</w:t>
      </w:r>
      <w:r>
        <w:rPr>
          <w:rFonts w:hint="eastAsia"/>
          <w:kern w:val="0"/>
          <w:sz w:val="24"/>
          <w:szCs w:val="46"/>
        </w:rPr>
        <w:t>符合JJG 175或JJG 1019中WS2的要求。</w:t>
      </w:r>
    </w:p>
    <w:p>
      <w:pPr>
        <w:numPr>
          <w:ilvl w:val="0"/>
          <w:numId w:val="8"/>
        </w:numPr>
        <w:spacing w:line="300" w:lineRule="auto"/>
        <w:ind w:left="0" w:firstLine="480" w:firstLineChars="200"/>
        <w:rPr>
          <w:sz w:val="24"/>
        </w:rPr>
      </w:pPr>
      <w:r>
        <w:rPr>
          <w:rFonts w:hint="eastAsia"/>
          <w:sz w:val="24"/>
        </w:rPr>
        <w:t>混响时间测量装置</w:t>
      </w:r>
      <w:r>
        <w:rPr>
          <w:sz w:val="24"/>
        </w:rPr>
        <w:t>：</w:t>
      </w:r>
      <w:r>
        <w:rPr>
          <w:rFonts w:hint="eastAsia"/>
          <w:sz w:val="24"/>
        </w:rPr>
        <w:t>频率范围至少为100 Hz ~ 8000 Hz，混响时间测量性能满足JJF 1142的要求。</w:t>
      </w:r>
    </w:p>
    <w:p>
      <w:pPr>
        <w:numPr>
          <w:ilvl w:val="0"/>
          <w:numId w:val="8"/>
        </w:numPr>
        <w:spacing w:line="300" w:lineRule="auto"/>
        <w:ind w:left="0" w:firstLine="480" w:firstLineChars="200"/>
        <w:rPr>
          <w:sz w:val="24"/>
        </w:rPr>
      </w:pPr>
      <w:r>
        <w:rPr>
          <w:rFonts w:hint="eastAsia"/>
          <w:kern w:val="0"/>
          <w:sz w:val="24"/>
          <w:szCs w:val="46"/>
        </w:rPr>
        <w:t>无指向性声源：在测量频率段内，无指向性声源声功率级应满足JJF 1468的要求。</w:t>
      </w:r>
    </w:p>
    <w:p>
      <w:pPr>
        <w:numPr>
          <w:ilvl w:val="0"/>
          <w:numId w:val="8"/>
        </w:numPr>
        <w:spacing w:line="300" w:lineRule="auto"/>
        <w:ind w:left="0" w:firstLine="480" w:firstLineChars="200"/>
        <w:rPr>
          <w:sz w:val="24"/>
        </w:rPr>
      </w:pPr>
      <w:r>
        <w:rPr>
          <w:rFonts w:hint="eastAsia"/>
          <w:sz w:val="24"/>
        </w:rPr>
        <w:t>标准撞击器：在100 Hz ~ 5000 Hz频段内，标准撞击器符合JJF 1652的要求。</w:t>
      </w:r>
    </w:p>
    <w:p>
      <w:pPr>
        <w:spacing w:line="300" w:lineRule="auto"/>
        <w:ind w:left="420" w:leftChars="200"/>
        <w:rPr>
          <w:sz w:val="24"/>
        </w:rPr>
      </w:pPr>
      <w:r>
        <w:rPr>
          <w:color w:val="000000"/>
          <w:szCs w:val="21"/>
        </w:rPr>
        <w:t>注</w:t>
      </w:r>
      <w:r>
        <w:rPr>
          <w:rFonts w:hint="eastAsia"/>
          <w:color w:val="000000"/>
          <w:szCs w:val="21"/>
        </w:rPr>
        <w:t>：以上测量标准及设备可采用满足上述相应计量要求的其他等效测量仪器代替。</w:t>
      </w:r>
    </w:p>
    <w:p>
      <w:pPr>
        <w:pStyle w:val="2"/>
        <w:numPr>
          <w:ilvl w:val="0"/>
          <w:numId w:val="4"/>
        </w:numPr>
        <w:spacing w:beforeLines="50" w:afterLines="50" w:line="300" w:lineRule="auto"/>
        <w:ind w:left="0" w:firstLine="0"/>
      </w:pPr>
      <w:bookmarkStart w:id="56" w:name="_Toc16315"/>
      <w:r>
        <w:rPr>
          <w:rFonts w:hint="eastAsia" w:ascii="黑体" w:hAnsi="Times New Roman" w:eastAsia="黑体"/>
          <w:b w:val="0"/>
        </w:rPr>
        <w:t>测试项目和测试方法</w:t>
      </w:r>
      <w:bookmarkEnd w:id="56"/>
    </w:p>
    <w:p>
      <w:pPr>
        <w:pStyle w:val="3"/>
        <w:numPr>
          <w:ilvl w:val="1"/>
          <w:numId w:val="9"/>
        </w:numPr>
        <w:tabs>
          <w:tab w:val="left" w:pos="630"/>
          <w:tab w:val="clear" w:pos="420"/>
        </w:tabs>
        <w:spacing w:line="300" w:lineRule="auto"/>
      </w:pPr>
      <w:bookmarkStart w:id="57" w:name="_Toc16825"/>
      <w:bookmarkStart w:id="58" w:name="_Toc29670"/>
      <w:bookmarkStart w:id="59" w:name="_Toc19563"/>
      <w:bookmarkStart w:id="60" w:name="_Toc239491065"/>
      <w:bookmarkStart w:id="61" w:name="_Toc16081"/>
      <w:r>
        <w:rPr>
          <w:rFonts w:hint="eastAsia"/>
        </w:rPr>
        <w:t>测试</w:t>
      </w:r>
      <w:r>
        <w:t>项目</w:t>
      </w:r>
      <w:bookmarkEnd w:id="57"/>
      <w:bookmarkEnd w:id="58"/>
      <w:bookmarkEnd w:id="59"/>
      <w:bookmarkEnd w:id="60"/>
      <w:bookmarkEnd w:id="61"/>
    </w:p>
    <w:p>
      <w:pPr>
        <w:adjustRightInd w:val="0"/>
        <w:snapToGrid w:val="0"/>
        <w:spacing w:line="300" w:lineRule="auto"/>
        <w:ind w:firstLine="480" w:firstLineChars="200"/>
      </w:pPr>
      <w:r>
        <w:rPr>
          <w:rFonts w:hint="eastAsia"/>
          <w:sz w:val="24"/>
        </w:rPr>
        <w:t>试听室的测试</w:t>
      </w:r>
      <w:r>
        <w:rPr>
          <w:sz w:val="24"/>
          <w:szCs w:val="21"/>
        </w:rPr>
        <w:t>项目见表</w:t>
      </w:r>
      <w:r>
        <w:rPr>
          <w:rFonts w:hint="eastAsia"/>
          <w:sz w:val="24"/>
          <w:szCs w:val="21"/>
        </w:rPr>
        <w:t>1</w:t>
      </w:r>
      <w:r>
        <w:rPr>
          <w:sz w:val="24"/>
          <w:szCs w:val="21"/>
        </w:rPr>
        <w:t>。</w:t>
      </w:r>
      <w:bookmarkStart w:id="62" w:name="_Toc239491066"/>
    </w:p>
    <w:p>
      <w:pPr>
        <w:pStyle w:val="3"/>
        <w:numPr>
          <w:ilvl w:val="1"/>
          <w:numId w:val="9"/>
        </w:numPr>
        <w:tabs>
          <w:tab w:val="left" w:pos="630"/>
          <w:tab w:val="clear" w:pos="420"/>
        </w:tabs>
        <w:spacing w:line="300" w:lineRule="auto"/>
      </w:pPr>
      <w:bookmarkStart w:id="63" w:name="_Toc10867"/>
      <w:bookmarkStart w:id="64" w:name="_Toc20344"/>
      <w:bookmarkStart w:id="65" w:name="_Toc18400"/>
      <w:bookmarkStart w:id="66" w:name="_Toc4990"/>
      <w:r>
        <w:rPr>
          <w:rFonts w:hint="eastAsia"/>
        </w:rPr>
        <w:t>测试</w:t>
      </w:r>
      <w:r>
        <w:t>方法</w:t>
      </w:r>
      <w:bookmarkEnd w:id="62"/>
      <w:bookmarkEnd w:id="63"/>
      <w:bookmarkEnd w:id="64"/>
      <w:bookmarkEnd w:id="65"/>
      <w:bookmarkEnd w:id="66"/>
    </w:p>
    <w:p>
      <w:pPr>
        <w:spacing w:line="300" w:lineRule="auto"/>
        <w:rPr>
          <w:sz w:val="24"/>
          <w:szCs w:val="21"/>
        </w:rPr>
      </w:pPr>
      <w:r>
        <w:rPr>
          <w:rFonts w:hint="eastAsia"/>
          <w:sz w:val="24"/>
          <w:szCs w:val="21"/>
        </w:rPr>
        <w:t>7.2.1 试听室的描述</w:t>
      </w:r>
    </w:p>
    <w:p>
      <w:pPr>
        <w:spacing w:line="300" w:lineRule="auto"/>
        <w:ind w:firstLine="480" w:firstLineChars="200"/>
        <w:jc w:val="left"/>
        <w:rPr>
          <w:sz w:val="24"/>
        </w:rPr>
      </w:pPr>
      <w:r>
        <w:rPr>
          <w:rFonts w:hint="eastAsia"/>
          <w:sz w:val="24"/>
        </w:rPr>
        <w:t>试听室一般应包括以下信息</w:t>
      </w:r>
      <w:r>
        <w:rPr>
          <w:sz w:val="24"/>
        </w:rPr>
        <w:t>：</w:t>
      </w:r>
    </w:p>
    <w:p>
      <w:pPr>
        <w:pStyle w:val="72"/>
        <w:numPr>
          <w:ilvl w:val="0"/>
          <w:numId w:val="10"/>
        </w:numPr>
        <w:adjustRightInd w:val="0"/>
        <w:snapToGrid w:val="0"/>
        <w:spacing w:line="300" w:lineRule="auto"/>
        <w:ind w:hanging="480"/>
        <w:jc w:val="left"/>
        <w:rPr>
          <w:rFonts w:ascii="Times New Roman"/>
          <w:sz w:val="24"/>
          <w:szCs w:val="21"/>
        </w:rPr>
      </w:pPr>
      <w:r>
        <w:rPr>
          <w:rFonts w:hint="eastAsia" w:ascii="Times New Roman"/>
          <w:sz w:val="24"/>
          <w:szCs w:val="24"/>
        </w:rPr>
        <w:t>名称、建造者的明确标识；</w:t>
      </w:r>
    </w:p>
    <w:p>
      <w:pPr>
        <w:pStyle w:val="72"/>
        <w:numPr>
          <w:ilvl w:val="0"/>
          <w:numId w:val="10"/>
        </w:numPr>
        <w:adjustRightInd w:val="0"/>
        <w:snapToGrid w:val="0"/>
        <w:spacing w:line="300" w:lineRule="auto"/>
        <w:ind w:hanging="480"/>
        <w:jc w:val="left"/>
        <w:rPr>
          <w:rFonts w:ascii="Times New Roman"/>
          <w:sz w:val="24"/>
        </w:rPr>
      </w:pPr>
      <w:r>
        <w:rPr>
          <w:rFonts w:hint="eastAsia" w:ascii="Times New Roman"/>
          <w:sz w:val="24"/>
          <w:szCs w:val="24"/>
        </w:rPr>
        <w:t>试听室的容积；</w:t>
      </w:r>
    </w:p>
    <w:p>
      <w:pPr>
        <w:pStyle w:val="72"/>
        <w:numPr>
          <w:ilvl w:val="0"/>
          <w:numId w:val="10"/>
        </w:numPr>
        <w:adjustRightInd w:val="0"/>
        <w:snapToGrid w:val="0"/>
        <w:spacing w:line="300" w:lineRule="auto"/>
        <w:ind w:hanging="480"/>
        <w:jc w:val="left"/>
        <w:rPr>
          <w:rFonts w:ascii="Times New Roman"/>
          <w:sz w:val="24"/>
        </w:rPr>
      </w:pPr>
      <w:r>
        <w:rPr>
          <w:rFonts w:hint="eastAsia" w:ascii="Times New Roman"/>
          <w:sz w:val="24"/>
          <w:szCs w:val="24"/>
        </w:rPr>
        <w:t>试听室的规格尺寸、面积等。</w:t>
      </w:r>
    </w:p>
    <w:p>
      <w:pPr>
        <w:pStyle w:val="9"/>
        <w:spacing w:beforeLines="50" w:afterLines="50" w:line="240" w:lineRule="auto"/>
        <w:ind w:firstLine="0"/>
        <w:jc w:val="center"/>
        <w:rPr>
          <w:rFonts w:ascii="黑体" w:eastAsia="黑体"/>
        </w:rPr>
      </w:pPr>
      <w:r>
        <w:rPr>
          <w:rFonts w:ascii="黑体" w:eastAsia="黑体"/>
        </w:rPr>
        <w:t>表</w:t>
      </w:r>
      <w:r>
        <w:rPr>
          <w:rFonts w:hint="eastAsia" w:ascii="黑体" w:eastAsia="黑体"/>
        </w:rPr>
        <w:t>1 测试</w:t>
      </w:r>
      <w:r>
        <w:rPr>
          <w:rFonts w:ascii="黑体" w:eastAsia="黑体"/>
        </w:rPr>
        <w:t>项目一览表</w:t>
      </w:r>
    </w:p>
    <w:tbl>
      <w:tblPr>
        <w:tblStyle w:val="26"/>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06"/>
        <w:gridCol w:w="3499"/>
        <w:gridCol w:w="2430"/>
        <w:gridCol w:w="23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vAlign w:val="center"/>
          </w:tcPr>
          <w:p>
            <w:pPr>
              <w:adjustRightInd w:val="0"/>
              <w:snapToGrid w:val="0"/>
              <w:spacing w:line="340" w:lineRule="exact"/>
              <w:ind w:left="-105" w:leftChars="-50" w:right="-105" w:rightChars="-50"/>
              <w:jc w:val="center"/>
              <w:rPr>
                <w:szCs w:val="21"/>
              </w:rPr>
            </w:pPr>
            <w:r>
              <w:rPr>
                <w:rFonts w:hint="eastAsia"/>
                <w:szCs w:val="21"/>
              </w:rPr>
              <w:t>序号</w:t>
            </w:r>
          </w:p>
        </w:tc>
        <w:tc>
          <w:tcPr>
            <w:tcW w:w="1839" w:type="pct"/>
            <w:vAlign w:val="center"/>
          </w:tcPr>
          <w:p>
            <w:pPr>
              <w:adjustRightInd w:val="0"/>
              <w:snapToGrid w:val="0"/>
              <w:spacing w:line="340" w:lineRule="exact"/>
              <w:jc w:val="center"/>
              <w:rPr>
                <w:szCs w:val="21"/>
              </w:rPr>
            </w:pPr>
            <w:r>
              <w:rPr>
                <w:rFonts w:hint="eastAsia"/>
                <w:szCs w:val="21"/>
              </w:rPr>
              <w:t>测试</w:t>
            </w:r>
            <w:r>
              <w:rPr>
                <w:szCs w:val="21"/>
              </w:rPr>
              <w:t>项目</w:t>
            </w:r>
          </w:p>
        </w:tc>
        <w:tc>
          <w:tcPr>
            <w:tcW w:w="1277" w:type="pct"/>
            <w:vAlign w:val="center"/>
          </w:tcPr>
          <w:p>
            <w:pPr>
              <w:adjustRightInd w:val="0"/>
              <w:snapToGrid w:val="0"/>
              <w:spacing w:line="340" w:lineRule="exact"/>
              <w:jc w:val="center"/>
              <w:rPr>
                <w:szCs w:val="21"/>
              </w:rPr>
            </w:pPr>
            <w:r>
              <w:rPr>
                <w:rFonts w:hint="eastAsia"/>
                <w:szCs w:val="21"/>
              </w:rPr>
              <w:t>技术要求的条款号</w:t>
            </w:r>
          </w:p>
        </w:tc>
        <w:tc>
          <w:tcPr>
            <w:tcW w:w="1248" w:type="pct"/>
            <w:vAlign w:val="center"/>
          </w:tcPr>
          <w:p>
            <w:pPr>
              <w:adjustRightInd w:val="0"/>
              <w:snapToGrid w:val="0"/>
              <w:spacing w:line="340" w:lineRule="exact"/>
              <w:ind w:left="-105" w:leftChars="-50" w:right="-105" w:rightChars="-50"/>
              <w:jc w:val="center"/>
              <w:rPr>
                <w:szCs w:val="21"/>
              </w:rPr>
            </w:pPr>
            <w:r>
              <w:rPr>
                <w:rFonts w:hint="eastAsia"/>
                <w:szCs w:val="21"/>
              </w:rPr>
              <w:t>测试方法的条款号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tcPr>
          <w:p>
            <w:pPr>
              <w:adjustRightInd w:val="0"/>
              <w:snapToGrid w:val="0"/>
              <w:spacing w:line="340" w:lineRule="exact"/>
              <w:jc w:val="center"/>
              <w:rPr>
                <w:szCs w:val="21"/>
              </w:rPr>
            </w:pPr>
            <w:r>
              <w:rPr>
                <w:rFonts w:hint="eastAsia"/>
                <w:szCs w:val="21"/>
              </w:rPr>
              <w:t>1</w:t>
            </w:r>
          </w:p>
        </w:tc>
        <w:tc>
          <w:tcPr>
            <w:tcW w:w="1839" w:type="pct"/>
            <w:vAlign w:val="center"/>
          </w:tcPr>
          <w:p>
            <w:pPr>
              <w:adjustRightInd w:val="0"/>
              <w:snapToGrid w:val="0"/>
              <w:spacing w:line="340" w:lineRule="exact"/>
              <w:jc w:val="center"/>
              <w:rPr>
                <w:szCs w:val="21"/>
              </w:rPr>
            </w:pPr>
            <w:r>
              <w:rPr>
                <w:rFonts w:hint="eastAsia"/>
              </w:rPr>
              <w:t>混响时间</w:t>
            </w:r>
          </w:p>
        </w:tc>
        <w:tc>
          <w:tcPr>
            <w:tcW w:w="1277" w:type="pct"/>
            <w:vAlign w:val="center"/>
          </w:tcPr>
          <w:p>
            <w:pPr>
              <w:adjustRightInd w:val="0"/>
              <w:snapToGrid w:val="0"/>
              <w:spacing w:line="340" w:lineRule="exact"/>
              <w:jc w:val="center"/>
              <w:rPr>
                <w:szCs w:val="21"/>
              </w:rPr>
            </w:pPr>
            <w:r>
              <w:rPr>
                <w:rFonts w:hint="eastAsia"/>
                <w:szCs w:val="21"/>
              </w:rPr>
              <w:t>5.1</w:t>
            </w:r>
          </w:p>
        </w:tc>
        <w:tc>
          <w:tcPr>
            <w:tcW w:w="1248" w:type="pct"/>
            <w:vAlign w:val="center"/>
          </w:tcPr>
          <w:p>
            <w:pPr>
              <w:adjustRightInd w:val="0"/>
              <w:snapToGrid w:val="0"/>
              <w:spacing w:line="340" w:lineRule="exact"/>
              <w:jc w:val="center"/>
              <w:rPr>
                <w:szCs w:val="21"/>
              </w:rPr>
            </w:pPr>
            <w:r>
              <w:rPr>
                <w:rFonts w:hint="eastAsia"/>
                <w:szCs w:val="21"/>
              </w:rPr>
              <w:t>7.2.2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tcPr>
          <w:p>
            <w:pPr>
              <w:adjustRightInd w:val="0"/>
              <w:snapToGrid w:val="0"/>
              <w:spacing w:line="340" w:lineRule="exact"/>
              <w:jc w:val="center"/>
              <w:rPr>
                <w:szCs w:val="21"/>
              </w:rPr>
            </w:pPr>
            <w:r>
              <w:rPr>
                <w:rFonts w:hint="eastAsia"/>
                <w:szCs w:val="21"/>
              </w:rPr>
              <w:t>2</w:t>
            </w:r>
          </w:p>
        </w:tc>
        <w:tc>
          <w:tcPr>
            <w:tcW w:w="1839" w:type="pct"/>
            <w:vAlign w:val="center"/>
          </w:tcPr>
          <w:p>
            <w:pPr>
              <w:adjustRightInd w:val="0"/>
              <w:snapToGrid w:val="0"/>
              <w:spacing w:line="340" w:lineRule="exact"/>
              <w:jc w:val="center"/>
              <w:rPr>
                <w:szCs w:val="21"/>
              </w:rPr>
            </w:pPr>
            <w:r>
              <w:rPr>
                <w:rFonts w:hint="eastAsia"/>
                <w:szCs w:val="21"/>
              </w:rPr>
              <w:t>声压级均匀性</w:t>
            </w:r>
          </w:p>
        </w:tc>
        <w:tc>
          <w:tcPr>
            <w:tcW w:w="1277" w:type="pct"/>
            <w:vAlign w:val="center"/>
          </w:tcPr>
          <w:p>
            <w:pPr>
              <w:adjustRightInd w:val="0"/>
              <w:snapToGrid w:val="0"/>
              <w:spacing w:line="340" w:lineRule="exact"/>
              <w:jc w:val="center"/>
              <w:rPr>
                <w:szCs w:val="21"/>
              </w:rPr>
            </w:pPr>
            <w:r>
              <w:rPr>
                <w:rFonts w:hint="eastAsia"/>
                <w:szCs w:val="21"/>
              </w:rPr>
              <w:t>5.2</w:t>
            </w:r>
          </w:p>
        </w:tc>
        <w:tc>
          <w:tcPr>
            <w:tcW w:w="1248" w:type="pct"/>
            <w:vAlign w:val="center"/>
          </w:tcPr>
          <w:p>
            <w:pPr>
              <w:adjustRightInd w:val="0"/>
              <w:snapToGrid w:val="0"/>
              <w:spacing w:line="340" w:lineRule="exact"/>
              <w:jc w:val="center"/>
              <w:rPr>
                <w:szCs w:val="21"/>
              </w:rPr>
            </w:pPr>
            <w:r>
              <w:rPr>
                <w:rFonts w:hint="eastAsia"/>
                <w:szCs w:val="21"/>
              </w:rPr>
              <w:t>7.2.3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tcPr>
          <w:p>
            <w:pPr>
              <w:adjustRightInd w:val="0"/>
              <w:snapToGrid w:val="0"/>
              <w:spacing w:line="340" w:lineRule="exact"/>
              <w:jc w:val="center"/>
              <w:rPr>
                <w:szCs w:val="21"/>
              </w:rPr>
            </w:pPr>
            <w:r>
              <w:rPr>
                <w:rFonts w:hint="eastAsia"/>
                <w:szCs w:val="21"/>
              </w:rPr>
              <w:t>3</w:t>
            </w:r>
          </w:p>
        </w:tc>
        <w:tc>
          <w:tcPr>
            <w:tcW w:w="1839" w:type="pct"/>
            <w:vAlign w:val="center"/>
          </w:tcPr>
          <w:p>
            <w:pPr>
              <w:jc w:val="center"/>
              <w:rPr>
                <w:szCs w:val="21"/>
              </w:rPr>
            </w:pPr>
            <w:r>
              <w:rPr>
                <w:rFonts w:hint="eastAsia"/>
              </w:rPr>
              <w:t>背景噪声</w:t>
            </w:r>
          </w:p>
        </w:tc>
        <w:tc>
          <w:tcPr>
            <w:tcW w:w="1277" w:type="pct"/>
            <w:vAlign w:val="center"/>
          </w:tcPr>
          <w:p>
            <w:pPr>
              <w:adjustRightInd w:val="0"/>
              <w:snapToGrid w:val="0"/>
              <w:spacing w:line="340" w:lineRule="exact"/>
              <w:jc w:val="center"/>
              <w:rPr>
                <w:szCs w:val="21"/>
              </w:rPr>
            </w:pPr>
            <w:r>
              <w:rPr>
                <w:rFonts w:hint="eastAsia"/>
                <w:szCs w:val="21"/>
              </w:rPr>
              <w:t>5.3</w:t>
            </w:r>
          </w:p>
        </w:tc>
        <w:tc>
          <w:tcPr>
            <w:tcW w:w="1248" w:type="pct"/>
            <w:vAlign w:val="center"/>
          </w:tcPr>
          <w:p>
            <w:pPr>
              <w:adjustRightInd w:val="0"/>
              <w:snapToGrid w:val="0"/>
              <w:spacing w:line="340" w:lineRule="exact"/>
              <w:jc w:val="center"/>
              <w:rPr>
                <w:szCs w:val="21"/>
              </w:rPr>
            </w:pPr>
            <w:r>
              <w:rPr>
                <w:rFonts w:hint="eastAsia"/>
                <w:szCs w:val="21"/>
              </w:rPr>
              <w:t>7.2.4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tcPr>
          <w:p>
            <w:pPr>
              <w:adjustRightInd w:val="0"/>
              <w:snapToGrid w:val="0"/>
              <w:spacing w:line="340" w:lineRule="exact"/>
              <w:jc w:val="center"/>
              <w:rPr>
                <w:szCs w:val="21"/>
              </w:rPr>
            </w:pPr>
            <w:r>
              <w:rPr>
                <w:rFonts w:hint="eastAsia"/>
                <w:szCs w:val="21"/>
              </w:rPr>
              <w:t>4</w:t>
            </w:r>
          </w:p>
        </w:tc>
        <w:tc>
          <w:tcPr>
            <w:tcW w:w="1839" w:type="pct"/>
            <w:vAlign w:val="center"/>
          </w:tcPr>
          <w:p>
            <w:pPr>
              <w:adjustRightInd w:val="0"/>
              <w:snapToGrid w:val="0"/>
              <w:spacing w:line="340" w:lineRule="exact"/>
              <w:jc w:val="center"/>
              <w:rPr>
                <w:szCs w:val="21"/>
              </w:rPr>
            </w:pPr>
            <w:r>
              <w:rPr>
                <w:rFonts w:hint="eastAsia"/>
                <w:szCs w:val="21"/>
              </w:rPr>
              <w:t>隔声性能</w:t>
            </w:r>
          </w:p>
        </w:tc>
        <w:tc>
          <w:tcPr>
            <w:tcW w:w="1277" w:type="pct"/>
            <w:vAlign w:val="center"/>
          </w:tcPr>
          <w:p>
            <w:pPr>
              <w:adjustRightInd w:val="0"/>
              <w:snapToGrid w:val="0"/>
              <w:spacing w:line="340" w:lineRule="exact"/>
              <w:jc w:val="center"/>
              <w:rPr>
                <w:szCs w:val="21"/>
              </w:rPr>
            </w:pPr>
            <w:r>
              <w:rPr>
                <w:rFonts w:hint="eastAsia"/>
                <w:szCs w:val="21"/>
              </w:rPr>
              <w:t>5.4</w:t>
            </w:r>
          </w:p>
        </w:tc>
        <w:tc>
          <w:tcPr>
            <w:tcW w:w="1248" w:type="pct"/>
            <w:vAlign w:val="center"/>
          </w:tcPr>
          <w:p>
            <w:pPr>
              <w:adjustRightInd w:val="0"/>
              <w:snapToGrid w:val="0"/>
              <w:spacing w:line="340" w:lineRule="exact"/>
              <w:jc w:val="center"/>
              <w:rPr>
                <w:szCs w:val="21"/>
              </w:rPr>
            </w:pPr>
            <w:r>
              <w:rPr>
                <w:rFonts w:hint="eastAsia"/>
                <w:szCs w:val="21"/>
              </w:rPr>
              <w:t>7.2.5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634" w:type="pct"/>
          </w:tcPr>
          <w:p>
            <w:pPr>
              <w:adjustRightInd w:val="0"/>
              <w:snapToGrid w:val="0"/>
              <w:spacing w:line="340" w:lineRule="exact"/>
              <w:jc w:val="center"/>
              <w:rPr>
                <w:szCs w:val="21"/>
              </w:rPr>
            </w:pPr>
            <w:r>
              <w:rPr>
                <w:rFonts w:hint="eastAsia"/>
                <w:szCs w:val="21"/>
              </w:rPr>
              <w:t>5</w:t>
            </w:r>
          </w:p>
        </w:tc>
        <w:tc>
          <w:tcPr>
            <w:tcW w:w="1839" w:type="pct"/>
            <w:vAlign w:val="center"/>
          </w:tcPr>
          <w:p>
            <w:pPr>
              <w:adjustRightInd w:val="0"/>
              <w:snapToGrid w:val="0"/>
              <w:spacing w:line="340" w:lineRule="exact"/>
              <w:jc w:val="center"/>
              <w:rPr>
                <w:szCs w:val="21"/>
              </w:rPr>
            </w:pPr>
            <w:r>
              <w:rPr>
                <w:rFonts w:hint="eastAsia"/>
                <w:szCs w:val="21"/>
              </w:rPr>
              <w:t>撞击声压级</w:t>
            </w:r>
          </w:p>
        </w:tc>
        <w:tc>
          <w:tcPr>
            <w:tcW w:w="1277" w:type="pct"/>
            <w:vAlign w:val="center"/>
          </w:tcPr>
          <w:p>
            <w:pPr>
              <w:adjustRightInd w:val="0"/>
              <w:snapToGrid w:val="0"/>
              <w:spacing w:line="340" w:lineRule="exact"/>
              <w:jc w:val="center"/>
              <w:rPr>
                <w:szCs w:val="21"/>
              </w:rPr>
            </w:pPr>
            <w:r>
              <w:rPr>
                <w:rFonts w:hint="eastAsia"/>
                <w:szCs w:val="21"/>
              </w:rPr>
              <w:t>5.5</w:t>
            </w:r>
          </w:p>
        </w:tc>
        <w:tc>
          <w:tcPr>
            <w:tcW w:w="1248" w:type="pct"/>
            <w:vAlign w:val="center"/>
          </w:tcPr>
          <w:p>
            <w:pPr>
              <w:adjustRightInd w:val="0"/>
              <w:snapToGrid w:val="0"/>
              <w:spacing w:line="340" w:lineRule="exact"/>
              <w:jc w:val="center"/>
              <w:rPr>
                <w:szCs w:val="21"/>
              </w:rPr>
            </w:pPr>
            <w:r>
              <w:rPr>
                <w:rFonts w:hint="eastAsia"/>
                <w:szCs w:val="21"/>
              </w:rPr>
              <w:t>7.2.6</w:t>
            </w:r>
          </w:p>
        </w:tc>
      </w:tr>
    </w:tbl>
    <w:p>
      <w:pPr>
        <w:pStyle w:val="72"/>
        <w:adjustRightInd w:val="0"/>
        <w:snapToGrid w:val="0"/>
        <w:spacing w:line="300" w:lineRule="auto"/>
        <w:ind w:left="0" w:leftChars="0" w:firstLine="0" w:firstLineChars="0"/>
        <w:jc w:val="left"/>
        <w:rPr>
          <w:rFonts w:ascii="Times New Roman"/>
          <w:sz w:val="24"/>
        </w:rPr>
      </w:pPr>
    </w:p>
    <w:p>
      <w:pPr>
        <w:spacing w:line="300" w:lineRule="auto"/>
        <w:rPr>
          <w:sz w:val="24"/>
        </w:rPr>
      </w:pPr>
      <w:r>
        <w:rPr>
          <w:rFonts w:hint="eastAsia"/>
          <w:sz w:val="24"/>
        </w:rPr>
        <w:t>7.2.2 混响时间</w:t>
      </w:r>
    </w:p>
    <w:p>
      <w:pPr>
        <w:numPr>
          <w:ilvl w:val="255"/>
          <w:numId w:val="0"/>
        </w:numPr>
        <w:adjustRightInd w:val="0"/>
        <w:snapToGrid w:val="0"/>
        <w:spacing w:line="300" w:lineRule="auto"/>
        <w:jc w:val="left"/>
        <w:rPr>
          <w:sz w:val="24"/>
        </w:rPr>
      </w:pPr>
      <w:r>
        <w:rPr>
          <w:rFonts w:hint="eastAsia"/>
          <w:sz w:val="24"/>
        </w:rPr>
        <w:t>7.2.2.1  试听室混响时间测量仪器连接如图1所示。测量时，试听室门窗均为密闭状态。测量前，用声校准器对工作标准传声器进行校准。</w:t>
      </w:r>
    </w:p>
    <w:p>
      <w:pPr>
        <w:numPr>
          <w:ilvl w:val="255"/>
          <w:numId w:val="0"/>
        </w:numPr>
        <w:adjustRightInd w:val="0"/>
        <w:snapToGrid w:val="0"/>
        <w:spacing w:line="300" w:lineRule="auto"/>
        <w:ind w:firstLine="480" w:firstLineChars="200"/>
        <w:jc w:val="center"/>
        <w:rPr>
          <w:sz w:val="24"/>
        </w:rPr>
      </w:pPr>
      <w:r>
        <w:rPr>
          <w:sz w:val="24"/>
        </w:rPr>
        <w:pict>
          <v:group id="_x0000_s2053" o:spid="_x0000_s2053" o:spt="203" style="height:221.75pt;width:437.15pt;" coordorigin="1985,9471" coordsize="8743,4435">
            <o:lock v:ext="edit"/>
            <v:rect id="矩形 4" o:spid="_x0000_s2054" o:spt="1" style="position:absolute;left:3597;top:9593;height:4102;width:5519;" filled="t" coordsize="21600,21600" o:gfxdata="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QKAettwAAANoAAAAP&#10;AAAAAAAAAAEAIAAAACIAAABkcnMvZG93bnJldi54bWxQSwECFAAUAAAACACHTuJAMy8FnjsAAAA5&#10;AAAAEAAAAAAAAAABACAAAAAGAQAAZHJzL3NoYXBleG1sLnhtbFBLBQYAAAAABgAGAFsBAACwAwAA&#10;AAA=&#10;">
              <v:path/>
              <v:fill type="pattern" on="t" o:title="image1" focussize="0,0" r:id="rId10"/>
              <v:stroke/>
              <v:imagedata o:title=""/>
              <o:lock v:ext="edit"/>
            </v:rect>
            <v:rect id="矩形 5" o:spid="_x0000_s2055" o:spt="1" style="position:absolute;left:3736;top:9727;height:3850;width:5258;" filled="t" coordsize="21600,21600" o:gfxdata="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pnaugAAANoA&#10;AAAPAAAAAAAAAAEAIAAAACIAAABkcnMvZG93bnJldi54bWxQSwECFAAUAAAACACHTuJAMy8FnjsA&#10;AAA5AAAAEAAAAAAAAAABACAAAAAJAQAAZHJzL3NoYXBleG1sLnhtbFBLBQYAAAAABgAGAFsBAACz&#10;AwAAAAA=&#10;">
              <v:path/>
              <v:fill type="pattern" on="t" o:title="image1" focussize="0,0" r:id="rId10"/>
              <v:stroke/>
              <v:imagedata o:title=""/>
              <o:lock v:ext="edit"/>
            </v:rect>
            <v:shape id="自选图形 6" o:spid="_x0000_s2056" o:spt="9" type="#_x0000_t9" style="position:absolute;left:8158;top:9860;height:637;width:701;" fillcolor="#A5A5A5" filled="t" coordsize="21600,21600" o:gfxdata="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V6U+8AAAA&#10;2gAAAA8AAAAAAAAAAQAgAAAAIgAAAGRycy9kb3ducmV2LnhtbFBLAQIUABQAAAAIAIdO4kAzLwWe&#10;OwAAADkAAAAQAAAAAAAAAAEAIAAAAAsBAABkcnMvc2hhcGV4bWwueG1sUEsFBgAAAAAGAAYAWwEA&#10;ALUDAAAAAA==&#10;">
              <v:path/>
              <v:fill on="t" focussize="0,0"/>
              <v:stroke joinstyle="miter"/>
              <v:imagedata o:title=""/>
              <o:lock v:ext="edit"/>
            </v:shape>
            <v:shape id="自选图形 7" o:spid="_x0000_s2057" o:spt="32" type="#_x0000_t32" style="position:absolute;left:8859;top:10179;height:0;width:821;" filled="f" coordsize="21600,21600" o:gfxdata="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nAnNvQAA&#10;ANoAAAAPAAAAAAAAAAEAIAAAACIAAABkcnMvZG93bnJldi54bWxQSwECFAAUAAAACACHTuJAMy8F&#10;njsAAAA5AAAAEAAAAAAAAAABACAAAAAMAQAAZHJzL3NoYXBleG1sLnhtbFBLBQYAAAAABgAGAFsB&#10;AAC2AwAAAAA=&#10;">
              <v:path arrowok="t"/>
              <v:fill on="f" focussize="0,0"/>
              <v:stroke/>
              <v:imagedata o:title=""/>
              <o:lock v:ext="edit"/>
            </v:shape>
            <v:rect id="矩形 8" o:spid="_x0000_s2058" o:spt="1" style="position:absolute;left:9661;top:9471;height:1461;width:1048;" filled="t" coordsize="21600,21600" o:gfxdata="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xMBrrsAAADa&#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9" o:spid="_x0000_s2059" o:spt="202" type="#_x0000_t202" style="position:absolute;left:6737;top:9757;height:422;width:1624;"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r>
                      <w:rPr>
                        <w:rFonts w:hint="eastAsia"/>
                      </w:rPr>
                      <w:t>无指向性声源</w:t>
                    </w:r>
                  </w:p>
                </w:txbxContent>
              </v:textbox>
            </v:shape>
            <v:shape id="文本框 10" o:spid="_x0000_s2060" o:spt="202" type="#_x0000_t202" style="position:absolute;left:3993;top:9997;height:422;width:1031;"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rPr>
                      <w:t>试听室</w:t>
                    </w:r>
                  </w:p>
                </w:txbxContent>
              </v:textbox>
            </v:shape>
            <v:shape id="文本框 11" o:spid="_x0000_s2061" o:spt="202" type="#_x0000_t202" style="position:absolute;left:9811;top:9490;height:1406;width:694;" filled="f" stroked="f" coordsize="21600,21600" o:gfxdata="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UMW0ugAAANoA&#10;AAAPAAAAAAAAAAEAIAAAACIAAABkcnMvZG93bnJldi54bWxQSwECFAAUAAAACACHTuJAMy8FnjsA&#10;AAA5AAAAEAAAAAAAAAABACAAAAAJAQAAZHJzL3NoYXBleG1sLnhtbFBLBQYAAAAABgAGAFsBAACz&#10;AwAAAAA=&#10;">
              <v:path/>
              <v:fill on="f" focussize="0,0"/>
              <v:stroke on="f" joinstyle="miter"/>
              <v:imagedata o:title=""/>
              <o:lock v:ext="edit"/>
              <v:textbox style="layout-flow:vertical-ideographic;">
                <w:txbxContent>
                  <w:p>
                    <w:r>
                      <w:rPr>
                        <w:rFonts w:hint="eastAsia"/>
                        <w:spacing w:val="20"/>
                      </w:rPr>
                      <w:t>功率放大器</w:t>
                    </w:r>
                  </w:p>
                </w:txbxContent>
              </v:textbox>
            </v:shape>
            <v:shape id="自选图形 12" o:spid="_x0000_s2062" o:spt="32" type="#_x0000_t32" style="position:absolute;left:10216;top:10932;height:787;width:0;" filled="f" coordsize="21600,21600" o:gfxdata="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naZTugAAANoA&#10;AAAPAAAAAAAAAAEAIAAAACIAAABkcnMvZG93bnJldi54bWxQSwECFAAUAAAACACHTuJAMy8FnjsA&#10;AAA5AAAAEAAAAAAAAAABACAAAAAJAQAAZHJzL3NoYXBleG1sLnhtbFBLBQYAAAAABgAGAFsBAACz&#10;AwAAAAA=&#10;">
              <v:path arrowok="t"/>
              <v:fill on="f" focussize="0,0"/>
              <v:stroke/>
              <v:imagedata o:title=""/>
              <o:lock v:ext="edit"/>
            </v:shape>
            <v:rect id="矩形 13" o:spid="_x0000_s2063" o:spt="1" style="position:absolute;left:9680;top:11720;height:1858;width:1048;" filled="t" coordsize="21600,21600" o:gfxdata="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01FBL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14" o:spid="_x0000_s2064" o:spt="202" type="#_x0000_t202" style="position:absolute;left:9800;top:11739;height:2167;width:720;" filled="f" stroked="f" coordsize="21600,21600" o:gfxdata="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lCIm8AAAA&#10;2wAAAA8AAAAAAAAAAQAgAAAAIgAAAGRycy9kb3ducmV2LnhtbFBLAQIUABQAAAAIAIdO4kAzLwWe&#10;OwAAADkAAAAQAAAAAAAAAAEAIAAAAAsBAABkcnMvc2hhcGV4bWwueG1sUEsFBgAAAAAGAAYAWwEA&#10;ALUDAAAAAA==&#10;">
              <v:path/>
              <v:fill on="f" focussize="0,0"/>
              <v:stroke on="f" joinstyle="miter"/>
              <v:imagedata o:title=""/>
              <o:lock v:ext="edit"/>
              <v:textbox style="layout-flow:vertical-ideographic;">
                <w:txbxContent>
                  <w:p>
                    <w:pPr>
                      <w:rPr>
                        <w:spacing w:val="20"/>
                      </w:rPr>
                    </w:pPr>
                    <w:r>
                      <w:rPr>
                        <w:rFonts w:hint="eastAsia"/>
                        <w:spacing w:val="20"/>
                      </w:rPr>
                      <w:t>声频信号发生器</w:t>
                    </w:r>
                  </w:p>
                </w:txbxContent>
              </v:textbox>
            </v:shape>
            <v:shape id="自选图形 15" o:spid="_x0000_s2065" o:spt="22" type="#_x0000_t22" style="position:absolute;left:4925;top:11434;height:453;width:143;" fillcolor="#A5A5A5" filled="t" stroked="t" coordsize="21600,21600" o:gfxdata="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HX+FW5AAAA2wAA&#10;AA8AAAAAAAAAAQAgAAAAIgAAAGRycy9kb3ducmV2LnhtbFBLAQIUABQAAAAIAIdO4kAzLwWeOwAA&#10;ADkAAAAQAAAAAAAAAAEAIAAAAAgBAABkcnMvc2hhcGV4bWwueG1sUEsFBgAAAAAGAAYAWwEAALID&#10;AAAAAA==&#10;">
              <v:path/>
              <v:fill on="t" focussize="0,0"/>
              <v:stroke color="#0D0D0D"/>
              <v:imagedata o:title=""/>
              <o:lock v:ext="edit"/>
            </v:shape>
            <v:shape id="自选图形 16" o:spid="_x0000_s2066" o:spt="34" type="#_x0000_t34" style="position:absolute;left:3033;top:11870;flip:y;height:753;width:1958;rotation:11796480f;" filled="f" coordsize="21600,21600" o:gfxdata="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U/XZrsAAADb&#10;AAAADwAAAAAAAAABACAAAAAiAAAAZHJzL2Rvd25yZXYueG1sUEsBAhQAFAAAAAgAh07iQDMvBZ47&#10;AAAAOQAAABAAAAAAAAAAAQAgAAAACgEAAGRycy9zaGFwZXhtbC54bWxQSwUGAAAAAAYABgBbAQAA&#10;tAMAAAAA&#10;" adj="-111">
              <v:path arrowok="t"/>
              <v:fill on="f" focussize="0,0"/>
              <v:stroke joinstyle="miter"/>
              <v:imagedata o:title=""/>
              <o:lock v:ext="edit"/>
            </v:shape>
            <v:rect id="矩形 17" o:spid="_x0000_s2067" o:spt="1" style="position:absolute;left:1985;top:11268;height:2309;width:1048;" filled="t" coordsize="21600,21600" o:gfxdata="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B2Qwe5AAAA2wAA&#10;AA8AAAAAAAAAAQAgAAAAIgAAAGRycy9kb3ducmV2LnhtbFBLAQIUABQAAAAIAIdO4kAzLwWeOwAA&#10;ADkAAAAQAAAAAAAAAAEAIAAAAAgBAABkcnMvc2hhcGV4bWwueG1sUEsFBgAAAAAGAAYAWwEAALID&#10;AAAAAA==&#10;">
              <v:path/>
              <v:fill type="pattern" on="t" o:title="image1" focussize="0,0" r:id="rId10"/>
              <v:stroke/>
              <v:imagedata o:title=""/>
              <o:lock v:ext="edit"/>
            </v:rect>
            <v:shape id="文本框 18" o:spid="_x0000_s2068" o:spt="202" type="#_x0000_t202" style="position:absolute;left:2135;top:11359;height:2293;width:680;" filled="f" stroked="f" coordsize="21600,21600" o:gfxdata="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ng6KvQAA&#10;ANsAAAAPAAAAAAAAAAEAIAAAACIAAABkcnMvZG93bnJldi54bWxQSwECFAAUAAAACACHTuJAMy8F&#10;njsAAAA5AAAAEAAAAAAAAAABACAAAAAMAQAAZHJzL3NoYXBleG1sLnhtbFBLBQYAAAAABgAGAFsB&#10;AAC2AwAAAAA=&#10;">
              <v:path/>
              <v:fill on="f" focussize="0,0"/>
              <v:stroke on="f" joinstyle="miter"/>
              <v:imagedata o:title=""/>
              <o:lock v:ext="edit"/>
              <v:textbox style="layout-flow:vertical-ideographic;">
                <w:txbxContent>
                  <w:p>
                    <w:r>
                      <w:rPr>
                        <w:rFonts w:hint="eastAsia"/>
                        <w:spacing w:val="20"/>
                      </w:rPr>
                      <w:t>混响时间测量装置</w:t>
                    </w:r>
                  </w:p>
                </w:txbxContent>
              </v:textbox>
            </v:shape>
            <v:shape id="_x0000_s2069" o:spid="_x0000_s2069" o:spt="202" type="#_x0000_t202" style="position:absolute;left:4922;top:11217;height:1021;width:694;" filled="f" stroked="f" coordsize="21600,21600" o:gfxdata="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2n6EU&#10;wAAAANsAAAAPAAAAAAAAAAEAIAAAACIAAABkcnMvZG93bnJldi54bWxQSwECFAAUAAAACACHTuJA&#10;My8FnjsAAAA5AAAAEAAAAAAAAAABACAAAAAPAQAAZHJzL3NoYXBleG1sLnhtbFBLBQYAAAAABgAG&#10;AFsBAAC5AwAAAAA=&#10;">
              <v:path/>
              <v:fill on="f" focussize="0,0"/>
              <v:stroke on="f" joinstyle="miter"/>
              <v:imagedata o:title=""/>
              <o:lock v:ext="edit"/>
              <v:textbox style="layout-flow:vertical-ideographic;">
                <w:txbxContent>
                  <w:p>
                    <w:pPr>
                      <w:snapToGrid w:val="0"/>
                      <w:rPr>
                        <w:spacing w:val="20"/>
                      </w:rPr>
                    </w:pPr>
                    <w:r>
                      <w:rPr>
                        <w:rFonts w:hint="eastAsia"/>
                        <w:spacing w:val="20"/>
                      </w:rPr>
                      <w:t>传声器</w:t>
                    </w:r>
                  </w:p>
                </w:txbxContent>
              </v:textbox>
            </v:shape>
            <v:shape id="_x0000_s2070" o:spid="_x0000_s2070" o:spt="34" type="#_x0000_t34" style="position:absolute;left:2478;top:13577;height:329;width:7738;" o:connectortype="elbow" filled="f" stroked="t" coordsize="21600,21600" adj="50,-891378,-6917">
              <v:path arrowok="t"/>
              <v:fill on="f" focussize="0,0"/>
              <v:stroke color="#000000" dashstyle="dash"/>
              <v:imagedata o:title=""/>
              <o:lock v:ext="edit"/>
            </v:shape>
            <v:shape id="_x0000_s2071" o:spid="_x0000_s2071" o:spt="32" type="#_x0000_t32" style="position:absolute;left:10216;top:13578;flip:y;height:328;width:0;" o:connectortype="straight" filled="f" stroked="t" coordsize="21600,21600">
              <v:path arrowok="t"/>
              <v:fill on="f" focussize="0,0"/>
              <v:stroke color="#000000" dashstyle="dash"/>
              <v:imagedata o:title=""/>
              <o:lock v:ext="edit"/>
            </v:shape>
            <w10:wrap type="none"/>
            <w10:anchorlock/>
          </v:group>
        </w:pict>
      </w:r>
    </w:p>
    <w:p>
      <w:pPr>
        <w:numPr>
          <w:ilvl w:val="255"/>
          <w:numId w:val="0"/>
        </w:numPr>
        <w:adjustRightInd w:val="0"/>
        <w:snapToGrid w:val="0"/>
        <w:spacing w:line="300" w:lineRule="auto"/>
        <w:ind w:firstLine="480" w:firstLineChars="200"/>
        <w:jc w:val="center"/>
        <w:rPr>
          <w:rFonts w:hint="eastAsia"/>
          <w:sz w:val="24"/>
        </w:rPr>
      </w:pPr>
      <w:r>
        <w:rPr>
          <w:rFonts w:hint="eastAsia"/>
          <w:sz w:val="24"/>
        </w:rPr>
        <w:t>图1  试听室混响时间测量示意图</w:t>
      </w:r>
    </w:p>
    <w:p>
      <w:pPr>
        <w:numPr>
          <w:ilvl w:val="255"/>
          <w:numId w:val="0"/>
        </w:numPr>
        <w:adjustRightInd w:val="0"/>
        <w:snapToGrid w:val="0"/>
        <w:spacing w:line="300" w:lineRule="auto"/>
        <w:ind w:firstLine="480" w:firstLineChars="200"/>
        <w:jc w:val="center"/>
        <w:rPr>
          <w:rFonts w:hint="eastAsia"/>
          <w:sz w:val="24"/>
        </w:rPr>
      </w:pPr>
    </w:p>
    <w:p>
      <w:pPr>
        <w:numPr>
          <w:ilvl w:val="255"/>
          <w:numId w:val="0"/>
        </w:numPr>
        <w:adjustRightInd w:val="0"/>
        <w:snapToGrid w:val="0"/>
        <w:spacing w:line="300" w:lineRule="auto"/>
        <w:jc w:val="left"/>
        <w:rPr>
          <w:szCs w:val="21"/>
        </w:rPr>
      </w:pPr>
      <w:r>
        <w:rPr>
          <w:rFonts w:hint="eastAsia"/>
          <w:sz w:val="24"/>
        </w:rPr>
        <w:t>7.2.2.2  试听室混响时间测试时，无指向性声源中心与房间每一个面的距离宜不小于0.7 m，同时应避免放置在试听室中心位置（建议可放置于易于产生均匀声场的位置或试听扬声器经典位置）。至少放置两个声源点，且每个声源点应至少均匀布置5个传声器测量位置点，传声器之间的距离宜不小于0.7 m，传声器与边界面之间的距离宜不小于0.5 m，传声器与声源之间的距离宜不小于1.0 m，也可根据现场实际需求布置测点。</w:t>
      </w:r>
    </w:p>
    <w:p>
      <w:pPr>
        <w:numPr>
          <w:ilvl w:val="255"/>
          <w:numId w:val="0"/>
        </w:numPr>
        <w:adjustRightInd w:val="0"/>
        <w:snapToGrid w:val="0"/>
        <w:spacing w:line="300" w:lineRule="auto"/>
        <w:jc w:val="left"/>
        <w:rPr>
          <w:sz w:val="24"/>
        </w:rPr>
      </w:pPr>
      <w:r>
        <w:rPr>
          <w:rFonts w:hint="eastAsia"/>
          <w:sz w:val="24"/>
        </w:rPr>
        <w:t>7.2.2.3  声频信号发生器输出粉红噪声信号，经功率放大器输出到无指向性声源，调整粉红噪声信号输出幅值，使混响时间取样线段底端比背景噪声至少高15 dB，以保证衰变曲线的平滑，从而获得准确的测量结果。当声源稳定时，声频信号发生器中断声源发声，并按1/3倍频程进行100 Hz ~8000 Hz频率范围内的混响时间测量。每个传声器测量位置点应做3次以上测量，取平均值。每个1/3倍频程的混响时间是以上至少10个测量点的平均值。</w:t>
      </w:r>
    </w:p>
    <w:p>
      <w:pPr>
        <w:spacing w:line="300" w:lineRule="auto"/>
        <w:rPr>
          <w:sz w:val="24"/>
        </w:rPr>
      </w:pPr>
      <w:r>
        <w:rPr>
          <w:rFonts w:hint="eastAsia"/>
          <w:sz w:val="24"/>
        </w:rPr>
        <w:t>7.2.3 声压级均匀性</w:t>
      </w:r>
    </w:p>
    <w:p>
      <w:pPr>
        <w:spacing w:line="300" w:lineRule="auto"/>
        <w:rPr>
          <w:sz w:val="24"/>
        </w:rPr>
      </w:pPr>
      <w:r>
        <w:rPr>
          <w:rFonts w:hint="eastAsia"/>
          <w:sz w:val="24"/>
        </w:rPr>
        <w:t>7.2.3.1  试听室声压级均匀性测量仪器连接如图2所示。测量时，试听室门窗均为密闭状态。测量前，用声校准器对工作标准传声器进行校准。</w:t>
      </w:r>
    </w:p>
    <w:p>
      <w:pPr>
        <w:numPr>
          <w:ilvl w:val="255"/>
          <w:numId w:val="0"/>
        </w:numPr>
        <w:adjustRightInd w:val="0"/>
        <w:snapToGrid w:val="0"/>
        <w:spacing w:line="300" w:lineRule="auto"/>
        <w:jc w:val="left"/>
        <w:rPr>
          <w:rFonts w:hint="eastAsia"/>
          <w:sz w:val="24"/>
        </w:rPr>
      </w:pPr>
      <w:r>
        <w:rPr>
          <w:rFonts w:hint="eastAsia"/>
          <w:sz w:val="24"/>
        </w:rPr>
        <w:t>7.2.3.2  试听室声压级均匀性测量时，传声器与声源布点要求、布置位置与测量点数量同7.2.2.2。</w:t>
      </w:r>
    </w:p>
    <w:p>
      <w:pPr>
        <w:numPr>
          <w:ilvl w:val="255"/>
          <w:numId w:val="0"/>
        </w:numPr>
        <w:adjustRightInd w:val="0"/>
        <w:snapToGrid w:val="0"/>
        <w:spacing w:line="300" w:lineRule="auto"/>
        <w:jc w:val="left"/>
        <w:rPr>
          <w:rFonts w:hint="eastAsia"/>
          <w:sz w:val="24"/>
        </w:rPr>
      </w:pPr>
    </w:p>
    <w:p>
      <w:pPr>
        <w:numPr>
          <w:ilvl w:val="255"/>
          <w:numId w:val="0"/>
        </w:numPr>
        <w:adjustRightInd w:val="0"/>
        <w:snapToGrid w:val="0"/>
        <w:spacing w:line="300" w:lineRule="auto"/>
        <w:jc w:val="left"/>
        <w:rPr>
          <w:sz w:val="24"/>
        </w:rPr>
      </w:pPr>
      <w:r>
        <w:rPr>
          <w:sz w:val="24"/>
        </w:rPr>
        <w:pict>
          <v:group id="_x0000_s2072" o:spid="_x0000_s2072" o:spt="203" style="height:206pt;width:437.15pt;" coordorigin="1499,1493" coordsize="8743,4120">
            <o:lock v:ext="edit"/>
            <v:rect id="矩形 1201" o:spid="_x0000_s2073" o:spt="1" style="position:absolute;left:3111;top:1510;height:4101;width:5519;" filled="t" coordsize="21600,21600" o:gfxdata="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5tKiK5AAAA2wAA&#10;AA8AAAAAAAAAAQAgAAAAIgAAAGRycy9kb3ducmV2LnhtbFBLAQIUABQAAAAIAIdO4kAzLwWeOwAA&#10;ADkAAAAQAAAAAAAAAAEAIAAAAAgBAABkcnMvc2hhcGV4bWwueG1sUEsFBgAAAAAGAAYAWwEAALID&#10;AAAAAA==&#10;">
              <v:path/>
              <v:fill type="pattern" on="t" o:title="image1" focussize="0,0" r:id="rId10"/>
              <v:stroke/>
              <v:imagedata o:title=""/>
              <o:lock v:ext="edit"/>
            </v:rect>
            <v:rect id="矩形 1202" o:spid="_x0000_s2074" o:spt="1" style="position:absolute;left:3250;top:1644;height:3849;width:5258;" filled="t" coordsize="21600,21600" o:gfxdata="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6/tFW5AAAA2wAA&#10;AA8AAAAAAAAAAQAgAAAAIgAAAGRycy9kb3ducmV2LnhtbFBLAQIUABQAAAAIAIdO4kAzLwWeOwAA&#10;ADkAAAAQAAAAAAAAAAEAIAAAAAgBAABkcnMvc2hhcGV4bWwueG1sUEsFBgAAAAAGAAYAWwEAALID&#10;AAAAAA==&#10;">
              <v:path/>
              <v:fill type="pattern" on="t" o:title="image1" focussize="0,0" r:id="rId10"/>
              <v:stroke/>
              <v:imagedata o:title=""/>
              <o:lock v:ext="edit"/>
            </v:rect>
            <v:shape id="自选图形 1203" o:spid="_x0000_s2075" o:spt="9" type="#_x0000_t9" style="position:absolute;left:7672;top:1777;height:637;width:701;" fillcolor="#A5A5A5" filled="t" coordsize="21600,21600" o:gfxdata="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u96RL4A&#10;AADbAAAADwAAAAAAAAABACAAAAAiAAAAZHJzL2Rvd25yZXYueG1sUEsBAhQAFAAAAAgAh07iQDMv&#10;BZ47AAAAOQAAABAAAAAAAAAAAQAgAAAADQEAAGRycy9zaGFwZXhtbC54bWxQSwUGAAAAAAYABgBb&#10;AQAAtwMAAAAA&#10;">
              <v:path/>
              <v:fill on="t" focussize="0,0"/>
              <v:stroke joinstyle="miter"/>
              <v:imagedata o:title=""/>
              <o:lock v:ext="edit"/>
            </v:shape>
            <v:shape id="自选图形 1204" o:spid="_x0000_s2076" o:spt="32" type="#_x0000_t32" style="position:absolute;left:8373;top:2096;height:0;width:821;" filled="f"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path arrowok="t"/>
              <v:fill on="f" focussize="0,0"/>
              <v:stroke/>
              <v:imagedata o:title=""/>
              <o:lock v:ext="edit"/>
            </v:shape>
            <v:rect id="矩形 1205" o:spid="_x0000_s2077" o:spt="1" style="position:absolute;left:9175;top:1493;height:1356;width:1048;" filled="t" coordsize="21600,21600" o:gfxdata="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VYsIb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1206" o:spid="_x0000_s2078" o:spt="202" type="#_x0000_t202" style="position:absolute;left:6251;top:1674;height:422;width:1624;" filled="f" stroked="f" coordsize="21600,21600" o:gfxdata="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nGk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无指向性声源</w:t>
                    </w:r>
                  </w:p>
                </w:txbxContent>
              </v:textbox>
            </v:shape>
            <v:shape id="文本框 1207" o:spid="_x0000_s2079" o:spt="202" type="#_x0000_t202" style="position:absolute;left:3507;top:1914;height:422;width:1031;"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试听室</w:t>
                    </w:r>
                  </w:p>
                </w:txbxContent>
              </v:textbox>
            </v:shape>
            <v:shape id="文本框 1208" o:spid="_x0000_s2080" o:spt="202" type="#_x0000_t202" style="position:absolute;left:9325;top:1497;height:1406;width:694;" filled="f" stroked="f" coordsize="21600,21600" o:gfxdata="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PNrqbsAAADb&#10;AAAADwAAAAAAAAABACAAAAAiAAAAZHJzL2Rvd25yZXYueG1sUEsBAhQAFAAAAAgAh07iQDMvBZ47&#10;AAAAOQAAABAAAAAAAAAAAQAgAAAACgEAAGRycy9zaGFwZXhtbC54bWxQSwUGAAAAAAYABgBbAQAA&#10;tAMAAAAA&#10;">
              <v:path/>
              <v:fill on="f" focussize="0,0"/>
              <v:stroke on="f" joinstyle="miter"/>
              <v:imagedata o:title=""/>
              <o:lock v:ext="edit"/>
              <v:textbox style="layout-flow:vertical-ideographic;">
                <w:txbxContent>
                  <w:p>
                    <w:r>
                      <w:rPr>
                        <w:rFonts w:hint="eastAsia"/>
                        <w:spacing w:val="20"/>
                      </w:rPr>
                      <w:t>功率放大器</w:t>
                    </w:r>
                  </w:p>
                </w:txbxContent>
              </v:textbox>
            </v:shape>
            <v:shape id="自选图形 1209" o:spid="_x0000_s2081" o:spt="32" type="#_x0000_t32" style="position:absolute;left:9730;top:2849;height:786;width:0;" filled="f"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path arrowok="t"/>
              <v:fill on="f" focussize="0,0"/>
              <v:stroke/>
              <v:imagedata o:title=""/>
              <o:lock v:ext="edit"/>
            </v:shape>
            <v:rect id="矩形 1210" o:spid="_x0000_s2082" o:spt="1" style="position:absolute;left:9194;top:3636;height:1858;width:1048;" filled="t" coordsize="21600,21600" o:gfxdata="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E+BlktwAAANsAAAAP&#10;AAAAAAAAAAEAIAAAACIAAABkcnMvZG93bnJldi54bWxQSwECFAAUAAAACACHTuJAMy8FnjsAAAA5&#10;AAAAEAAAAAAAAAABACAAAAAGAQAAZHJzL3NoYXBleG1sLnhtbFBLBQYAAAAABgAGAFsBAACwAwAA&#10;AAA=&#10;">
              <v:path/>
              <v:fill type="pattern" on="t" o:title="image1" focussize="0,0" r:id="rId10"/>
              <v:stroke/>
              <v:imagedata o:title=""/>
              <o:lock v:ext="edit"/>
            </v:rect>
            <v:shape id="文本框 1211" o:spid="_x0000_s2083" o:spt="202" type="#_x0000_t202" style="position:absolute;left:9344;top:3670;height:1943;width:690;" filled="f" stroked="f" coordsize="21600,21600" o:gfxdata="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wQVOm/&#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声频信号发生器</w:t>
                    </w:r>
                  </w:p>
                </w:txbxContent>
              </v:textbox>
            </v:shape>
            <v:shape id="自选图形 1212" o:spid="_x0000_s2084" o:spt="22" type="#_x0000_t22" style="position:absolute;left:4439;top:3351;height:452;width:143;" fillcolor="#A5A5A5" filled="t" stroked="t" coordsize="21600,21600" o:gfxdata="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kNb4A&#10;AADbAAAADwAAAAAAAAABACAAAAAiAAAAZHJzL2Rvd25yZXYueG1sUEsBAhQAFAAAAAgAh07iQDMv&#10;BZ47AAAAOQAAABAAAAAAAAAAAQAgAAAADQEAAGRycy9zaGFwZXhtbC54bWxQSwUGAAAAAAYABgBb&#10;AQAAtwMAAAAA&#10;">
              <v:path/>
              <v:fill on="t" focussize="0,0"/>
              <v:stroke color="#0D0D0D"/>
              <v:imagedata o:title=""/>
              <o:lock v:ext="edit"/>
            </v:shape>
            <v:shape id="自选图形 1213" o:spid="_x0000_s2085" o:spt="34" type="#_x0000_t34" style="position:absolute;left:2547;top:3786;flip:y;height:753;width:1958;rotation:11796480f;" filled="f" coordsize="21600,21600" o:gfxdata="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osGugAAANsA&#10;AAAPAAAAAAAAAAEAIAAAACIAAABkcnMvZG93bnJldi54bWxQSwECFAAUAAAACACHTuJAMy8FnjsA&#10;AAA5AAAAEAAAAAAAAAABACAAAAAJAQAAZHJzL3NoYXBleG1sLnhtbFBLBQYAAAAABgAGAFsBAACz&#10;AwAAAAA=&#10;" adj="-111">
              <v:path arrowok="t"/>
              <v:fill on="f" focussize="0,0"/>
              <v:stroke joinstyle="miter"/>
              <v:imagedata o:title=""/>
              <o:lock v:ext="edit"/>
            </v:shape>
            <v:rect id="矩形 1214" o:spid="_x0000_s2086" o:spt="1" style="position:absolute;left:1499;top:3635;height:1842;width:1048;" filled="t" coordsize="21600,21600" o:gfxdata="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8MfZ7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1215" o:spid="_x0000_s2087" o:spt="202" type="#_x0000_t202" style="position:absolute;left:1649;top:3809;height:1421;width:680;" filled="f" stroked="f" coordsize="21600,21600" o:gfxdata="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K1Lq&#10;wAAAANsAAAAPAAAAAAAAAAEAIAAAACIAAABkcnMvZG93bnJldi54bWxQSwECFAAUAAAACACHTuJA&#10;My8FnjsAAAA5AAAAEAAAAAAAAAABACAAAAAPAQAAZHJzL3NoYXBleG1sLnhtbFBLBQYAAAAABgAG&#10;AFsBAAC5AwAAAAA=&#10;">
              <v:path/>
              <v:fill on="f" focussize="0,0"/>
              <v:stroke on="f" joinstyle="miter"/>
              <v:imagedata o:title=""/>
              <o:lock v:ext="edit"/>
              <v:textbox style="layout-flow:vertical-ideographic;">
                <w:txbxContent>
                  <w:p>
                    <w:pPr>
                      <w:rPr>
                        <w:spacing w:val="20"/>
                      </w:rPr>
                    </w:pPr>
                    <w:r>
                      <w:rPr>
                        <w:rFonts w:hint="eastAsia"/>
                        <w:spacing w:val="20"/>
                      </w:rPr>
                      <w:t>声分析仪</w:t>
                    </w:r>
                  </w:p>
                  <w:p/>
                </w:txbxContent>
              </v:textbox>
            </v:shape>
            <v:shape id="文本框 1219" o:spid="_x0000_s2088" o:spt="202" type="#_x0000_t202" style="position:absolute;left:4429;top:3167;height:1020;width:694;" filled="f" stroked="f" coordsize="21600,21600" o:gfxdata="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5zJ2/&#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传声器</w:t>
                    </w:r>
                  </w:p>
                </w:txbxContent>
              </v:textbox>
            </v:shape>
            <w10:wrap type="none"/>
            <w10:anchorlock/>
          </v:group>
        </w:pict>
      </w:r>
    </w:p>
    <w:p>
      <w:pPr>
        <w:numPr>
          <w:ilvl w:val="255"/>
          <w:numId w:val="0"/>
        </w:numPr>
        <w:adjustRightInd w:val="0"/>
        <w:snapToGrid w:val="0"/>
        <w:spacing w:line="300" w:lineRule="auto"/>
        <w:ind w:firstLine="480" w:firstLineChars="200"/>
        <w:jc w:val="center"/>
        <w:rPr>
          <w:sz w:val="24"/>
        </w:rPr>
      </w:pPr>
      <w:r>
        <w:rPr>
          <w:rFonts w:hint="eastAsia"/>
          <w:sz w:val="24"/>
        </w:rPr>
        <w:t>图2  试听室声压级均匀性测量示意图</w:t>
      </w:r>
    </w:p>
    <w:p>
      <w:pPr>
        <w:numPr>
          <w:ilvl w:val="255"/>
          <w:numId w:val="0"/>
        </w:numPr>
        <w:adjustRightInd w:val="0"/>
        <w:snapToGrid w:val="0"/>
        <w:spacing w:line="300" w:lineRule="auto"/>
        <w:jc w:val="left"/>
        <w:rPr>
          <w:rFonts w:hint="eastAsia"/>
          <w:sz w:val="24"/>
        </w:rPr>
      </w:pPr>
    </w:p>
    <w:p>
      <w:pPr>
        <w:numPr>
          <w:ilvl w:val="255"/>
          <w:numId w:val="0"/>
        </w:numPr>
        <w:adjustRightInd w:val="0"/>
        <w:snapToGrid w:val="0"/>
        <w:spacing w:line="300" w:lineRule="auto"/>
        <w:jc w:val="left"/>
        <w:rPr>
          <w:sz w:val="24"/>
        </w:rPr>
      </w:pPr>
      <w:r>
        <w:rPr>
          <w:rFonts w:hint="eastAsia"/>
          <w:sz w:val="24"/>
        </w:rPr>
        <w:t>7.2.3.3  声频信号发生器输出粉红噪声信号，经功率放大器输出到无指向性声源，使传声器处获得的声压级比背景噪声高15 dB以上。当声源稳定时，测量每个传声器位置100 Hz ~8000 Hz频率范围内各个1/3倍频程的时间平均声压级，对中心频率160 Hz以及160 Hz以下的频带，测量平均时间至少为30 s，对中心频率在160 Hz以上的频带，测量时间至少为10 s。可由式（1）确定每个频带的声压级均匀性（以声压级的标准偏差表示）。</w:t>
      </w:r>
    </w:p>
    <w:p>
      <w:pPr>
        <w:numPr>
          <w:ilvl w:val="255"/>
          <w:numId w:val="0"/>
        </w:numPr>
        <w:adjustRightInd w:val="0"/>
        <w:snapToGrid w:val="0"/>
        <w:spacing w:line="300" w:lineRule="auto"/>
        <w:jc w:val="center"/>
        <w:rPr>
          <w:sz w:val="24"/>
        </w:rPr>
      </w:pPr>
      <w:r>
        <w:rPr>
          <w:position w:val="-28"/>
          <w:sz w:val="24"/>
        </w:rPr>
        <w:object>
          <v:shape id="_x0000_i1025" o:spt="75" type="#_x0000_t75" style="height:35.15pt;width:164.1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sz w:val="24"/>
        </w:rPr>
        <w:t xml:space="preserve">      (1)</w:t>
      </w:r>
    </w:p>
    <w:p>
      <w:pPr>
        <w:numPr>
          <w:ilvl w:val="255"/>
          <w:numId w:val="0"/>
        </w:numPr>
        <w:adjustRightInd w:val="0"/>
        <w:snapToGrid w:val="0"/>
        <w:spacing w:line="300" w:lineRule="auto"/>
        <w:jc w:val="left"/>
        <w:rPr>
          <w:sz w:val="24"/>
        </w:rPr>
      </w:pPr>
      <w:r>
        <w:rPr>
          <w:rFonts w:hint="eastAsia"/>
          <w:sz w:val="24"/>
        </w:rPr>
        <w:t>式中：</w:t>
      </w:r>
    </w:p>
    <w:p>
      <w:pPr>
        <w:numPr>
          <w:ilvl w:val="255"/>
          <w:numId w:val="0"/>
        </w:numPr>
        <w:adjustRightInd w:val="0"/>
        <w:snapToGrid w:val="0"/>
        <w:spacing w:line="300" w:lineRule="auto"/>
        <w:ind w:firstLine="480" w:firstLineChars="200"/>
        <w:jc w:val="left"/>
        <w:rPr>
          <w:sz w:val="24"/>
        </w:rPr>
      </w:pPr>
      <w:r>
        <w:rPr>
          <w:rFonts w:hint="eastAsia"/>
          <w:i/>
          <w:iCs/>
          <w:sz w:val="24"/>
        </w:rPr>
        <w:t>S</w:t>
      </w:r>
      <w:r>
        <w:rPr>
          <w:rFonts w:hint="eastAsia"/>
          <w:i/>
          <w:iCs/>
          <w:sz w:val="24"/>
          <w:vertAlign w:val="subscript"/>
        </w:rPr>
        <w:t>M</w:t>
      </w:r>
      <w:r>
        <w:rPr>
          <w:rFonts w:hint="eastAsia"/>
          <w:sz w:val="24"/>
        </w:rPr>
        <w:t>－－声压级均匀性，即所有传声器测量点声压级标准偏差，dB；</w:t>
      </w:r>
    </w:p>
    <w:p>
      <w:pPr>
        <w:numPr>
          <w:ilvl w:val="255"/>
          <w:numId w:val="0"/>
        </w:numPr>
        <w:adjustRightInd w:val="0"/>
        <w:snapToGrid w:val="0"/>
        <w:spacing w:line="300" w:lineRule="auto"/>
        <w:ind w:firstLine="480" w:firstLineChars="200"/>
        <w:jc w:val="left"/>
        <w:rPr>
          <w:sz w:val="24"/>
        </w:rPr>
      </w:pPr>
      <w:r>
        <w:rPr>
          <w:rFonts w:hint="eastAsia"/>
          <w:i/>
          <w:iCs/>
          <w:sz w:val="24"/>
        </w:rPr>
        <w:t>L</w:t>
      </w:r>
      <w:r>
        <w:rPr>
          <w:rFonts w:hint="eastAsia"/>
          <w:i/>
          <w:iCs/>
          <w:sz w:val="24"/>
          <w:vertAlign w:val="subscript"/>
        </w:rPr>
        <w:t>pi</w:t>
      </w:r>
      <w:r>
        <w:rPr>
          <w:rFonts w:hint="eastAsia"/>
          <w:sz w:val="24"/>
        </w:rPr>
        <w:t>－－第</w:t>
      </w:r>
      <w:r>
        <w:rPr>
          <w:rFonts w:hint="eastAsia"/>
          <w:i/>
          <w:iCs/>
          <w:sz w:val="24"/>
        </w:rPr>
        <w:t>i</w:t>
      </w:r>
      <w:r>
        <w:rPr>
          <w:rFonts w:hint="eastAsia"/>
          <w:sz w:val="24"/>
        </w:rPr>
        <w:t>个传声器测量点的时间平均声压级，dB；</w:t>
      </w:r>
    </w:p>
    <w:p>
      <w:pPr>
        <w:numPr>
          <w:ilvl w:val="255"/>
          <w:numId w:val="0"/>
        </w:numPr>
        <w:adjustRightInd w:val="0"/>
        <w:snapToGrid w:val="0"/>
        <w:spacing w:line="300" w:lineRule="auto"/>
        <w:ind w:firstLine="480" w:firstLineChars="200"/>
        <w:jc w:val="left"/>
        <w:rPr>
          <w:sz w:val="24"/>
        </w:rPr>
      </w:pPr>
      <w:r>
        <w:rPr>
          <w:rFonts w:hint="eastAsia"/>
          <w:i/>
          <w:iCs/>
          <w:sz w:val="24"/>
        </w:rPr>
        <w:t>L</w:t>
      </w:r>
      <w:r>
        <w:rPr>
          <w:rFonts w:hint="eastAsia"/>
          <w:i/>
          <w:iCs/>
          <w:sz w:val="24"/>
          <w:vertAlign w:val="subscript"/>
        </w:rPr>
        <w:t>pm</w:t>
      </w:r>
      <w:r>
        <w:rPr>
          <w:rFonts w:hint="eastAsia"/>
          <w:sz w:val="24"/>
        </w:rPr>
        <w:t>－－所有传声器测量点测得声压级的算术平均值，dB；</w:t>
      </w:r>
    </w:p>
    <w:p>
      <w:pPr>
        <w:numPr>
          <w:ilvl w:val="255"/>
          <w:numId w:val="0"/>
        </w:numPr>
        <w:adjustRightInd w:val="0"/>
        <w:snapToGrid w:val="0"/>
        <w:spacing w:line="300" w:lineRule="auto"/>
        <w:ind w:firstLine="480" w:firstLineChars="200"/>
        <w:jc w:val="left"/>
        <w:rPr>
          <w:sz w:val="24"/>
        </w:rPr>
      </w:pPr>
      <w:r>
        <w:rPr>
          <w:rFonts w:hint="eastAsia"/>
          <w:i/>
          <w:iCs/>
          <w:sz w:val="24"/>
        </w:rPr>
        <w:t>N</w:t>
      </w:r>
      <w:r>
        <w:rPr>
          <w:rFonts w:hint="eastAsia"/>
          <w:i/>
          <w:iCs/>
          <w:sz w:val="24"/>
          <w:vertAlign w:val="subscript"/>
        </w:rPr>
        <w:t>M</w:t>
      </w:r>
      <w:r>
        <w:rPr>
          <w:rFonts w:hint="eastAsia"/>
          <w:sz w:val="24"/>
        </w:rPr>
        <w:t>－－所有传声器测量点数，即声源位置数与单个声源点传声器测量位置点数的积。</w:t>
      </w:r>
    </w:p>
    <w:p>
      <w:pPr>
        <w:spacing w:line="300" w:lineRule="auto"/>
        <w:rPr>
          <w:sz w:val="24"/>
        </w:rPr>
      </w:pPr>
      <w:r>
        <w:rPr>
          <w:rFonts w:hint="eastAsia"/>
          <w:sz w:val="24"/>
        </w:rPr>
        <w:t>7.2.4 背景噪声</w:t>
      </w:r>
    </w:p>
    <w:p>
      <w:pPr>
        <w:spacing w:line="300" w:lineRule="auto"/>
      </w:pPr>
      <w:r>
        <w:rPr>
          <w:rFonts w:hint="eastAsia"/>
          <w:sz w:val="24"/>
        </w:rPr>
        <w:t>7.2.4.1  试听室背景噪声测量仪器连接如图3所示。测量时，试听室门窗均为密闭状态。测量前，用声校准器对工作标准传声器进行校准。</w:t>
      </w:r>
    </w:p>
    <w:p>
      <w:pPr>
        <w:numPr>
          <w:ilvl w:val="255"/>
          <w:numId w:val="0"/>
        </w:numPr>
        <w:adjustRightInd w:val="0"/>
        <w:snapToGrid w:val="0"/>
        <w:spacing w:line="300" w:lineRule="auto"/>
        <w:rPr>
          <w:sz w:val="24"/>
        </w:rPr>
      </w:pPr>
      <w:r>
        <w:rPr>
          <w:rFonts w:hint="eastAsia"/>
          <w:sz w:val="24"/>
        </w:rPr>
        <w:t>7.2.4.2  在试听室内选择3 ~ 5个测量点，根据试听室内面积大小决定，测量点一般位于室内几何中心及常规工作位置，也可根据实际需要选择测量点。测量时，传声器选择位置点的距离要求同7.2.2.2。在各个测量点按1/3倍频带声压级和A计权声压级进行测量，并取各测量点的能量平均值作为试听室的背景噪声。</w:t>
      </w:r>
    </w:p>
    <w:p>
      <w:pPr>
        <w:numPr>
          <w:ilvl w:val="255"/>
          <w:numId w:val="0"/>
        </w:numPr>
        <w:adjustRightInd w:val="0"/>
        <w:snapToGrid w:val="0"/>
        <w:spacing w:line="300" w:lineRule="auto"/>
        <w:rPr>
          <w:sz w:val="24"/>
        </w:rPr>
      </w:pPr>
    </w:p>
    <w:p>
      <w:pPr>
        <w:numPr>
          <w:ilvl w:val="255"/>
          <w:numId w:val="0"/>
        </w:numPr>
        <w:adjustRightInd w:val="0"/>
        <w:snapToGrid w:val="0"/>
        <w:spacing w:line="300" w:lineRule="auto"/>
        <w:ind w:firstLine="480" w:firstLineChars="200"/>
        <w:jc w:val="center"/>
        <w:rPr>
          <w:sz w:val="24"/>
        </w:rPr>
      </w:pPr>
      <w:r>
        <w:rPr>
          <w:sz w:val="24"/>
        </w:rPr>
        <w:pict>
          <v:group id="_x0000_s2089" o:spid="_x0000_s2089" o:spt="203" style="height:205.1pt;width:356.5pt;" coordorigin="2795,9167" coordsize="7130,4102">
            <o:lock v:ext="edit"/>
            <v:rect id="矩形 300" o:spid="_x0000_s2090" o:spt="1" style="position:absolute;left:4407;top:9167;height:4102;width:5518;" filled="t" coordsize="21600,21600" o:gfxdata="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wrD5ugAAANsA&#10;AAAPAAAAAAAAAAEAIAAAACIAAABkcnMvZG93bnJldi54bWxQSwECFAAUAAAACACHTuJAMy8FnjsA&#10;AAA5AAAAEAAAAAAAAAABACAAAAAJAQAAZHJzL3NoYXBleG1sLnhtbFBLBQYAAAAABgAGAFsBAACz&#10;AwAAAAA=&#10;">
              <v:path/>
              <v:fill type="pattern" on="t" o:title="image1" focussize="0,0" r:id="rId10"/>
              <v:stroke/>
              <v:imagedata o:title=""/>
              <o:lock v:ext="edit"/>
            </v:rect>
            <v:rect id="矩形 303" o:spid="_x0000_s2091" o:spt="1" style="position:absolute;left:4546;top:9301;height:3850;width:5257;" filled="t" coordsize="21600,21600" o:gfxdata="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c/moZtwAAANsAAAAP&#10;AAAAAAAAAAEAIAAAACIAAABkcnMvZG93bnJldi54bWxQSwECFAAUAAAACACHTuJAMy8FnjsAAAA5&#10;AAAAEAAAAAAAAAABACAAAAAGAQAAZHJzL3NoYXBleG1sLnhtbFBLBQYAAAAABgAGAFsBAACwAwAA&#10;AAA=&#10;">
              <v:path/>
              <v:fill type="pattern" on="t" o:title="image1" focussize="0,0" r:id="rId10"/>
              <v:stroke/>
              <v:imagedata o:title=""/>
              <o:lock v:ext="edit"/>
            </v:rect>
            <v:shape id="文本框 304" o:spid="_x0000_s2092" o:spt="202" type="#_x0000_t202" style="position:absolute;left:4803;top:9571;height:422;width:1031;"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试听室</w:t>
                    </w:r>
                  </w:p>
                </w:txbxContent>
              </v:textbox>
            </v:shape>
            <v:shape id="自选图形 313" o:spid="_x0000_s2093" o:spt="22" type="#_x0000_t22" style="position:absolute;left:5735;top:11008;height:453;width:143;" fillcolor="#A5A5A5" filled="t" stroked="t" coordsize="21600,21600" o:gfxdata="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mTXSL4A&#10;AADbAAAADwAAAAAAAAABACAAAAAiAAAAZHJzL2Rvd25yZXYueG1sUEsBAhQAFAAAAAgAh07iQDMv&#10;BZ47AAAAOQAAABAAAAAAAAAAAQAgAAAADQEAAGRycy9zaGFwZXhtbC54bWxQSwUGAAAAAAYABgBb&#10;AQAAtwMAAAAA&#10;">
              <v:path/>
              <v:fill on="t" focussize="0,0"/>
              <v:stroke color="#0D0D0D"/>
              <v:imagedata o:title=""/>
              <o:lock v:ext="edit"/>
            </v:shape>
            <v:shape id="自选图形 314" o:spid="_x0000_s2094" o:spt="34" type="#_x0000_t34" style="position:absolute;left:3843;top:11444;flip:y;height:753;width:1958;rotation:11796480f;" filled="f" coordsize="21600,21600" o:gfxdata="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vz4e7sAAADb&#10;AAAADwAAAAAAAAABACAAAAAiAAAAZHJzL2Rvd25yZXYueG1sUEsBAhQAFAAAAAgAh07iQDMvBZ47&#10;AAAAOQAAABAAAAAAAAAAAQAgAAAACgEAAGRycy9zaGFwZXhtbC54bWxQSwUGAAAAAAYABgBbAQAA&#10;tAMAAAAA&#10;" adj="-111">
              <v:path arrowok="t"/>
              <v:fill on="f" focussize="0,0"/>
              <v:stroke joinstyle="miter"/>
              <v:imagedata o:title=""/>
              <o:lock v:ext="edit"/>
            </v:shape>
            <v:rect id="矩形 315" o:spid="_x0000_s2095" o:spt="1" style="position:absolute;left:2795;top:11292;height:1775;width:1048;" filled="t" coordsize="21600,21600" o:gfxdata="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PFbBq5AAAA2wAA&#10;AA8AAAAAAAAAAQAgAAAAIgAAAGRycy9kb3ducmV2LnhtbFBLAQIUABQAAAAIAIdO4kAzLwWeOwAA&#10;ADkAAAAQAAAAAAAAAAEAIAAAAAgBAABkcnMvc2hhcGV4bWwueG1sUEsFBgAAAAAGAAYAWwEAALID&#10;AAAAAA==&#10;">
              <v:path/>
              <v:fill type="pattern" on="t" o:title="image1" focussize="0,0" r:id="rId10"/>
              <v:stroke/>
              <v:imagedata o:title=""/>
              <o:lock v:ext="edit"/>
            </v:rect>
            <v:shape id="文本框 316" o:spid="_x0000_s2096" o:spt="202" type="#_x0000_t202" style="position:absolute;left:2945;top:11467;height:1421;width:680;" filled="f" stroked="f" coordsize="21600,21600" o:gfxdata="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stIZe/&#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声分析仪</w:t>
                    </w:r>
                  </w:p>
                  <w:p/>
                </w:txbxContent>
              </v:textbox>
            </v:shape>
            <v:shape id="文本框 317" o:spid="_x0000_s2097" o:spt="202" type="#_x0000_t202" style="position:absolute;left:5725;top:10824;height:1021;width:693;" filled="f" stroked="f" coordsize="21600,21600" o:gfxdata="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v/v+C/&#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r>
                      <w:rPr>
                        <w:rFonts w:hint="eastAsia"/>
                        <w:spacing w:val="20"/>
                      </w:rPr>
                      <w:t>传声器</w:t>
                    </w:r>
                  </w:p>
                </w:txbxContent>
              </v:textbox>
            </v:shape>
            <w10:wrap type="none"/>
            <w10:anchorlock/>
          </v:group>
        </w:pict>
      </w:r>
    </w:p>
    <w:p>
      <w:pPr>
        <w:numPr>
          <w:ilvl w:val="255"/>
          <w:numId w:val="0"/>
        </w:numPr>
        <w:adjustRightInd w:val="0"/>
        <w:snapToGrid w:val="0"/>
        <w:spacing w:line="300" w:lineRule="auto"/>
        <w:ind w:firstLine="480" w:firstLineChars="200"/>
        <w:jc w:val="center"/>
        <w:rPr>
          <w:rFonts w:hint="eastAsia"/>
          <w:sz w:val="24"/>
        </w:rPr>
      </w:pPr>
      <w:r>
        <w:rPr>
          <w:rFonts w:hint="eastAsia"/>
          <w:sz w:val="24"/>
        </w:rPr>
        <w:t>图3  试听室背景噪声测量示意图</w:t>
      </w:r>
    </w:p>
    <w:p>
      <w:pPr>
        <w:numPr>
          <w:ilvl w:val="255"/>
          <w:numId w:val="0"/>
        </w:numPr>
        <w:adjustRightInd w:val="0"/>
        <w:snapToGrid w:val="0"/>
        <w:spacing w:line="300" w:lineRule="auto"/>
        <w:ind w:firstLine="480" w:firstLineChars="200"/>
        <w:jc w:val="center"/>
        <w:rPr>
          <w:rFonts w:hint="eastAsia"/>
          <w:sz w:val="24"/>
        </w:rPr>
      </w:pPr>
    </w:p>
    <w:p>
      <w:pPr>
        <w:spacing w:line="300" w:lineRule="auto"/>
        <w:rPr>
          <w:sz w:val="24"/>
        </w:rPr>
      </w:pPr>
      <w:r>
        <w:rPr>
          <w:rFonts w:hint="eastAsia"/>
          <w:sz w:val="24"/>
        </w:rPr>
        <w:t>7.2.5 试听室与观察室间的隔声性能</w:t>
      </w:r>
    </w:p>
    <w:p>
      <w:pPr>
        <w:numPr>
          <w:ilvl w:val="255"/>
          <w:numId w:val="0"/>
        </w:numPr>
        <w:adjustRightInd w:val="0"/>
        <w:snapToGrid w:val="0"/>
        <w:spacing w:line="300" w:lineRule="auto"/>
        <w:jc w:val="left"/>
        <w:rPr>
          <w:sz w:val="24"/>
        </w:rPr>
      </w:pPr>
      <w:r>
        <w:rPr>
          <w:rFonts w:hint="eastAsia"/>
          <w:sz w:val="24"/>
        </w:rPr>
        <w:t>7.2.5.1  试听室与观察室间的隔声量测量仪器连接如图4所示。测量时，试听室与观察室的门窗均为密闭状态。测量前，用声校准器对工作标准传声器进行校准。</w:t>
      </w:r>
    </w:p>
    <w:p>
      <w:pPr>
        <w:numPr>
          <w:ilvl w:val="255"/>
          <w:numId w:val="0"/>
        </w:numPr>
        <w:adjustRightInd w:val="0"/>
        <w:snapToGrid w:val="0"/>
        <w:spacing w:line="300" w:lineRule="auto"/>
        <w:jc w:val="left"/>
        <w:rPr>
          <w:sz w:val="24"/>
        </w:rPr>
      </w:pPr>
      <w:r>
        <w:rPr>
          <w:rFonts w:hint="eastAsia"/>
          <w:sz w:val="24"/>
        </w:rPr>
        <w:t>7.2.5.2  试听室与观察室间的隔声量测量时，试听室内传声器、观察室内的传声器与声源布点要求、布置位置与测量点数量同7.2.2.2。</w:t>
      </w:r>
    </w:p>
    <w:p>
      <w:pPr>
        <w:numPr>
          <w:ilvl w:val="255"/>
          <w:numId w:val="0"/>
        </w:numPr>
        <w:adjustRightInd w:val="0"/>
        <w:snapToGrid w:val="0"/>
        <w:spacing w:line="300" w:lineRule="auto"/>
        <w:jc w:val="left"/>
        <w:rPr>
          <w:sz w:val="24"/>
        </w:rPr>
      </w:pPr>
      <w:r>
        <w:rPr>
          <w:rFonts w:hint="eastAsia"/>
          <w:sz w:val="24"/>
        </w:rPr>
        <w:t>7.2.5.3  声频信号发生器输出白噪声信号，经功率放大器输出到无指向性声源，使试听室的传声器处获得的声压级均比背景噪声高15 dB以上。当声源稳定时，测量每个传声器位置100 Hz ~5000 Hz频率范围内各个1/3倍频程的时间平均声压级，对中心频率160 Hz以及160 Hz以下的频带，测量平均时间至少为30 s，对中心频率在160 Hz以上的频带，测量时间至少为10 s。在试听室与观察室内不同位置传声器测量得到的声压级取所有位置的能量平均值即分别为试听室与观察室内的平均声压级</w:t>
      </w:r>
      <w:r>
        <w:rPr>
          <w:rFonts w:hint="eastAsia"/>
          <w:i/>
          <w:sz w:val="24"/>
        </w:rPr>
        <w:t>L</w:t>
      </w:r>
      <w:r>
        <w:rPr>
          <w:rFonts w:hint="eastAsia"/>
          <w:sz w:val="24"/>
          <w:vertAlign w:val="subscript"/>
        </w:rPr>
        <w:t>1</w:t>
      </w:r>
      <w:r>
        <w:rPr>
          <w:rFonts w:hint="eastAsia"/>
          <w:sz w:val="24"/>
        </w:rPr>
        <w:t>、</w:t>
      </w:r>
      <w:r>
        <w:rPr>
          <w:rFonts w:hint="eastAsia"/>
          <w:i/>
          <w:sz w:val="24"/>
        </w:rPr>
        <w:t>L</w:t>
      </w:r>
      <w:r>
        <w:rPr>
          <w:rFonts w:hint="eastAsia"/>
          <w:sz w:val="24"/>
          <w:vertAlign w:val="subscript"/>
        </w:rPr>
        <w:t>2</w:t>
      </w:r>
      <w:r>
        <w:rPr>
          <w:rFonts w:hint="eastAsia"/>
          <w:sz w:val="24"/>
        </w:rPr>
        <w:t>。按式（2）计算试听室与观察室间的标准化声压级差</w:t>
      </w:r>
      <w:r>
        <w:rPr>
          <w:i/>
          <w:sz w:val="24"/>
        </w:rPr>
        <w:t>D</w:t>
      </w:r>
      <w:r>
        <w:rPr>
          <w:iCs/>
          <w:sz w:val="24"/>
          <w:vertAlign w:val="subscript"/>
        </w:rPr>
        <w:t>nT</w:t>
      </w:r>
      <w:r>
        <w:rPr>
          <w:rFonts w:hint="eastAsia"/>
          <w:sz w:val="24"/>
        </w:rPr>
        <w:t>，计权标准化声压级差</w:t>
      </w:r>
      <w:r>
        <w:rPr>
          <w:i/>
          <w:sz w:val="24"/>
        </w:rPr>
        <w:t>D</w:t>
      </w:r>
      <w:r>
        <w:rPr>
          <w:iCs/>
          <w:sz w:val="24"/>
          <w:vertAlign w:val="subscript"/>
        </w:rPr>
        <w:t>nT,w</w:t>
      </w:r>
      <w:r>
        <w:rPr>
          <w:rFonts w:hint="eastAsia"/>
          <w:sz w:val="24"/>
        </w:rPr>
        <w:t>根据GB/T 50121规定的方法计算可得。</w:t>
      </w:r>
    </w:p>
    <w:p>
      <w:pPr>
        <w:numPr>
          <w:ilvl w:val="255"/>
          <w:numId w:val="0"/>
        </w:numPr>
        <w:adjustRightInd w:val="0"/>
        <w:snapToGrid w:val="0"/>
        <w:spacing w:line="300" w:lineRule="auto"/>
        <w:jc w:val="center"/>
        <w:rPr>
          <w:sz w:val="24"/>
        </w:rPr>
      </w:pPr>
      <w:r>
        <w:rPr>
          <w:position w:val="-30"/>
          <w:sz w:val="24"/>
        </w:rPr>
        <w:object>
          <v:shape id="_x0000_i1026" o:spt="75" alt="" type="#_x0000_t75" style="height:34.35pt;width:180.9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sz w:val="24"/>
        </w:rPr>
        <w:t xml:space="preserve">      （2）</w:t>
      </w:r>
    </w:p>
    <w:p>
      <w:pPr>
        <w:numPr>
          <w:ilvl w:val="255"/>
          <w:numId w:val="0"/>
        </w:numPr>
        <w:adjustRightInd w:val="0"/>
        <w:snapToGrid w:val="0"/>
        <w:spacing w:line="300" w:lineRule="auto"/>
        <w:jc w:val="left"/>
        <w:rPr>
          <w:sz w:val="24"/>
        </w:rPr>
      </w:pPr>
      <w:r>
        <w:rPr>
          <w:rFonts w:hint="eastAsia"/>
          <w:sz w:val="24"/>
        </w:rPr>
        <w:t>式中：</w:t>
      </w:r>
      <w:bookmarkStart w:id="95" w:name="_GoBack"/>
      <w:bookmarkEnd w:id="95"/>
    </w:p>
    <w:p>
      <w:pPr>
        <w:numPr>
          <w:ilvl w:val="255"/>
          <w:numId w:val="0"/>
        </w:numPr>
        <w:adjustRightInd w:val="0"/>
        <w:snapToGrid w:val="0"/>
        <w:spacing w:line="300" w:lineRule="auto"/>
        <w:ind w:firstLine="480" w:firstLineChars="200"/>
        <w:jc w:val="left"/>
        <w:rPr>
          <w:sz w:val="24"/>
        </w:rPr>
      </w:pPr>
      <w:r>
        <w:rPr>
          <w:rFonts w:hint="eastAsia"/>
          <w:i/>
          <w:sz w:val="24"/>
        </w:rPr>
        <w:t>L</w:t>
      </w:r>
      <w:r>
        <w:rPr>
          <w:rFonts w:hint="eastAsia"/>
          <w:sz w:val="24"/>
          <w:vertAlign w:val="subscript"/>
        </w:rPr>
        <w:t>1</w:t>
      </w:r>
      <w:r>
        <w:rPr>
          <w:rFonts w:hint="eastAsia"/>
          <w:sz w:val="24"/>
        </w:rPr>
        <w:t>――观察室内的平均频带声压级，dB；</w:t>
      </w:r>
    </w:p>
    <w:p>
      <w:pPr>
        <w:numPr>
          <w:ilvl w:val="255"/>
          <w:numId w:val="0"/>
        </w:numPr>
        <w:adjustRightInd w:val="0"/>
        <w:snapToGrid w:val="0"/>
        <w:spacing w:line="300" w:lineRule="auto"/>
        <w:ind w:firstLine="480" w:firstLineChars="200"/>
        <w:jc w:val="left"/>
        <w:rPr>
          <w:sz w:val="24"/>
        </w:rPr>
      </w:pPr>
      <w:r>
        <w:rPr>
          <w:rFonts w:hint="eastAsia"/>
          <w:i/>
          <w:sz w:val="24"/>
        </w:rPr>
        <w:t>L</w:t>
      </w:r>
      <w:r>
        <w:rPr>
          <w:rFonts w:hint="eastAsia"/>
          <w:sz w:val="24"/>
          <w:vertAlign w:val="subscript"/>
        </w:rPr>
        <w:t>2</w:t>
      </w:r>
      <w:r>
        <w:rPr>
          <w:rFonts w:hint="eastAsia"/>
          <w:sz w:val="24"/>
        </w:rPr>
        <w:t>――试听室内的平均频带声压级，dB；</w:t>
      </w:r>
    </w:p>
    <w:p>
      <w:pPr>
        <w:numPr>
          <w:ilvl w:val="255"/>
          <w:numId w:val="0"/>
        </w:numPr>
        <w:adjustRightInd w:val="0"/>
        <w:snapToGrid w:val="0"/>
        <w:spacing w:line="300" w:lineRule="auto"/>
        <w:ind w:firstLine="480" w:firstLineChars="200"/>
        <w:jc w:val="left"/>
        <w:rPr>
          <w:sz w:val="24"/>
        </w:rPr>
      </w:pPr>
      <w:r>
        <w:rPr>
          <w:rFonts w:hint="eastAsia"/>
          <w:i/>
          <w:sz w:val="24"/>
        </w:rPr>
        <w:t>T</w:t>
      </w:r>
      <w:r>
        <w:rPr>
          <w:rFonts w:hint="eastAsia"/>
          <w:sz w:val="24"/>
        </w:rPr>
        <w:t>――7.2.2中测量得到的试听室混响时间，s；</w:t>
      </w:r>
    </w:p>
    <w:p>
      <w:pPr>
        <w:numPr>
          <w:ilvl w:val="255"/>
          <w:numId w:val="0"/>
        </w:numPr>
        <w:adjustRightInd w:val="0"/>
        <w:snapToGrid w:val="0"/>
        <w:spacing w:line="300" w:lineRule="auto"/>
        <w:ind w:firstLine="480" w:firstLineChars="200"/>
        <w:jc w:val="left"/>
        <w:rPr>
          <w:sz w:val="24"/>
        </w:rPr>
      </w:pPr>
      <w:r>
        <w:rPr>
          <w:rFonts w:hint="eastAsia"/>
          <w:i/>
          <w:sz w:val="24"/>
        </w:rPr>
        <w:t>T</w:t>
      </w:r>
      <w:r>
        <w:rPr>
          <w:rFonts w:hint="eastAsia"/>
          <w:iCs/>
          <w:sz w:val="24"/>
          <w:vertAlign w:val="subscript"/>
        </w:rPr>
        <w:t>0</w:t>
      </w:r>
      <w:r>
        <w:rPr>
          <w:rFonts w:hint="eastAsia"/>
          <w:sz w:val="24"/>
        </w:rPr>
        <w:t>――参考混响时间，</w:t>
      </w:r>
      <w:r>
        <w:rPr>
          <w:rFonts w:hint="eastAsia"/>
          <w:i/>
          <w:sz w:val="24"/>
        </w:rPr>
        <w:t>T</w:t>
      </w:r>
      <w:r>
        <w:rPr>
          <w:rFonts w:hint="eastAsia"/>
          <w:iCs/>
          <w:sz w:val="24"/>
          <w:vertAlign w:val="subscript"/>
        </w:rPr>
        <w:t>0</w:t>
      </w:r>
      <w:r>
        <w:rPr>
          <w:rFonts w:hint="eastAsia"/>
          <w:iCs/>
          <w:sz w:val="24"/>
        </w:rPr>
        <w:t xml:space="preserve">＝0.5 </w:t>
      </w:r>
      <w:r>
        <w:rPr>
          <w:rFonts w:hint="eastAsia"/>
          <w:sz w:val="24"/>
        </w:rPr>
        <w:t>s。</w:t>
      </w:r>
    </w:p>
    <w:p>
      <w:pPr>
        <w:numPr>
          <w:ilvl w:val="255"/>
          <w:numId w:val="0"/>
        </w:numPr>
        <w:adjustRightInd w:val="0"/>
        <w:snapToGrid w:val="0"/>
        <w:spacing w:line="300" w:lineRule="auto"/>
        <w:jc w:val="left"/>
        <w:rPr>
          <w:sz w:val="24"/>
        </w:rPr>
      </w:pPr>
    </w:p>
    <w:p>
      <w:pPr>
        <w:numPr>
          <w:ilvl w:val="255"/>
          <w:numId w:val="0"/>
        </w:numPr>
        <w:adjustRightInd w:val="0"/>
        <w:snapToGrid w:val="0"/>
        <w:spacing w:line="300" w:lineRule="auto"/>
        <w:jc w:val="left"/>
        <w:rPr>
          <w:sz w:val="24"/>
        </w:rPr>
      </w:pPr>
      <w:r>
        <w:rPr>
          <w:sz w:val="24"/>
        </w:rPr>
        <w:pict>
          <v:group id="_x0000_s2098" o:spid="_x0000_s2098" o:spt="203" style="height:365.2pt;width:454pt;" coordorigin="1493,1493" coordsize="9080,7304">
            <o:lock v:ext="edit"/>
            <v:rect id="矩形 111" o:spid="_x0000_s2099" o:spt="1" style="position:absolute;left:3105;top:1493;height:4102;width:5519;" filled="t" coordsize="21600,21600" o:gfxdata="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cTDhL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rect id="矩形 112" o:spid="_x0000_s2100" o:spt="1" style="position:absolute;left:3244;top:1627;height:3850;width:5258;" filled="t" coordsize="21600,21600" o:gfxdata="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n/MS5AAAA2wAA&#10;AA8AAAAAAAAAAQAgAAAAIgAAAGRycy9kb3ducmV2LnhtbFBLAQIUABQAAAAIAIdO4kAzLwWeOwAA&#10;ADkAAAAQAAAAAAAAAAEAIAAAAAgBAABkcnMvc2hhcGV4bWwueG1sUEsFBgAAAAAGAAYAWwEAALID&#10;AAAAAA==&#10;">
              <v:path/>
              <v:fill type="pattern" on="t" o:title="image1" focussize="0,0" r:id="rId10"/>
              <v:stroke/>
              <v:imagedata o:title=""/>
              <o:lock v:ext="edit"/>
            </v:rect>
            <v:shape id="自选图形 113" o:spid="_x0000_s2101" o:spt="9" type="#_x0000_t9" style="position:absolute;left:3501;top:6637;height:637;width:701;" fillcolor="#A5A5A5" filled="t" coordsize="21600,21600" o:gfxdata="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cy1b4A&#10;AADbAAAADwAAAAAAAAABACAAAAAiAAAAZHJzL2Rvd25yZXYueG1sUEsBAhQAFAAAAAgAh07iQDMv&#10;BZ47AAAAOQAAABAAAAAAAAAAAQAgAAAADQEAAGRycy9zaGFwZXhtbC54bWxQSwUGAAAAAAYABgBb&#10;AQAAtwMAAAAA&#10;">
              <v:path/>
              <v:fill on="t" focussize="0,0"/>
              <v:stroke joinstyle="miter"/>
              <v:imagedata o:title=""/>
              <o:lock v:ext="edit"/>
            </v:shape>
            <v:rect id="矩形 114" o:spid="_x0000_s2102" o:spt="1" style="position:absolute;left:5015;top:7977;height:820;width:2269;" filled="t" coordsize="21600,21600" o:gfxdata="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rnHKL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115" o:spid="_x0000_s2103" o:spt="202" type="#_x0000_t202" style="position:absolute;left:3139;top:6275;height:422;width:1624;" filled="f" stroked="f" coordsize="21600,21600" o:gfxdata="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C6FB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无指向性声源</w:t>
                    </w:r>
                  </w:p>
                </w:txbxContent>
              </v:textbox>
            </v:shape>
            <v:shape id="文本框 116" o:spid="_x0000_s2104" o:spt="202" type="#_x0000_t202" style="position:absolute;left:3501;top:1897;height:422;width:1031;"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试听室</w:t>
                    </w:r>
                  </w:p>
                </w:txbxContent>
              </v:textbox>
            </v:shape>
            <v:shape id="自选图形 117" o:spid="_x0000_s2105" o:spt="22" type="#_x0000_t22" style="position:absolute;left:4433;top:3334;height:453;width:143;" fillcolor="#A5A5A5" filled="t" stroked="t" coordsize="21600,21600" o:gfxdata="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VNnhvQAA&#10;ANsAAAAPAAAAAAAAAAEAIAAAACIAAABkcnMvZG93bnJldi54bWxQSwECFAAUAAAACACHTuJAMy8F&#10;njsAAAA5AAAAEAAAAAAAAAABACAAAAAMAQAAZHJzL3NoYXBleG1sLnhtbFBLBQYAAAAABgAGAFsB&#10;AAC2AwAAAAA=&#10;">
              <v:path/>
              <v:fill on="t" focussize="0,0"/>
              <v:stroke color="#0D0D0D"/>
              <v:imagedata o:title=""/>
              <o:lock v:ext="edit"/>
            </v:shape>
            <v:shape id="自选图形 118" o:spid="_x0000_s2106" o:spt="34" type="#_x0000_t34" style="position:absolute;left:2541;top:3770;flip:y;height:322;width:1958;rotation:11796480f;" filled="f" coordsize="21600,21600" o:gfxdata="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qKNSvQAA&#10;ANsAAAAPAAAAAAAAAAEAIAAAACIAAABkcnMvZG93bnJldi54bWxQSwECFAAUAAAACACHTuJAMy8F&#10;njsAAAA5AAAAEAAAAAAAAAABACAAAAAMAQAAZHJzL3NoYXBleG1sLnhtbFBLBQYAAAAABgAGAFsB&#10;AAC2AwAAAAA=&#10;" adj="88">
              <v:path arrowok="t"/>
              <v:fill on="f" focussize="0,0"/>
              <v:stroke joinstyle="miter"/>
              <v:imagedata o:title=""/>
              <o:lock v:ext="edit"/>
            </v:shape>
            <v:rect id="矩形 119" o:spid="_x0000_s2107" o:spt="1" style="position:absolute;left:1493;top:3205;height:1770;width:1048;" filled="t" coordsize="21600,21600" o:gfxdata="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OZLC8AAAA&#10;2wAAAA8AAAAAAAAAAQAgAAAAIgAAAGRycy9kb3ducmV2LnhtbFBLAQIUABQAAAAIAIdO4kAzLwWe&#10;OwAAADkAAAAQAAAAAAAAAAEAIAAAAAsBAABkcnMvc2hhcGV4bWwueG1sUEsFBgAAAAAGAAYAWwEA&#10;ALUDAAAAAA==&#10;">
              <v:path/>
              <v:fill type="pattern" on="t" o:title="image1" focussize="0,0" r:id="rId10"/>
              <v:stroke/>
              <v:imagedata o:title=""/>
              <o:lock v:ext="edit"/>
            </v:rect>
            <v:shape id="文本框 120" o:spid="_x0000_s2108" o:spt="202" type="#_x0000_t202" style="position:absolute;left:1643;top:3356;height:1421;width:680;" filled="f" stroked="f" coordsize="21600,21600" o:gfxdata="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D1GNS8AAAA&#10;2wAAAA8AAAAAAAAAAQAgAAAAIgAAAGRycy9kb3ducmV2LnhtbFBLAQIUABQAAAAIAIdO4kAzLwWe&#10;OwAAADkAAAAQAAAAAAAAAAEAIAAAAAsBAABkcnMvc2hhcGV4bWwueG1sUEsFBgAAAAAGAAYAWwEA&#10;ALUDAAAAAA==&#10;">
              <v:path/>
              <v:fill on="f" focussize="0,0"/>
              <v:stroke on="f" joinstyle="miter"/>
              <v:imagedata o:title=""/>
              <o:lock v:ext="edit"/>
              <v:textbox style="layout-flow:vertical-ideographic;">
                <w:txbxContent>
                  <w:p>
                    <w:pPr>
                      <w:rPr>
                        <w:spacing w:val="20"/>
                      </w:rPr>
                    </w:pPr>
                    <w:r>
                      <w:rPr>
                        <w:rFonts w:hint="eastAsia"/>
                        <w:spacing w:val="20"/>
                      </w:rPr>
                      <w:t>声分析仪</w:t>
                    </w:r>
                  </w:p>
                  <w:p/>
                </w:txbxContent>
              </v:textbox>
            </v:shape>
            <v:shape id="文本框 121" o:spid="_x0000_s2109" o:spt="202" type="#_x0000_t202" style="position:absolute;left:4457;top:3071;height:1021;width:694;" filled="f" stroked="f" coordsize="21600,21600" o:gfxdata="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5vU+/&#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传声器</w:t>
                    </w:r>
                  </w:p>
                </w:txbxContent>
              </v:textbox>
            </v:shape>
            <v:shape id="文本框 123" o:spid="_x0000_s2110" o:spt="202" type="#_x0000_t202" style="position:absolute;left:5397;top:8130;height:422;width:1624;" filled="f" stroked="f" coordsize="21600,21600" o:gfxdata="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VAQ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功率放大器</w:t>
                    </w:r>
                  </w:p>
                </w:txbxContent>
              </v:textbox>
            </v:shape>
            <v:shape id="自选图形 124" o:spid="_x0000_s2111" o:spt="32" type="#_x0000_t32" style="position:absolute;left:7264;top:8359;height:0;width:821;" filled="f" coordsize="21600,21600" o:gfxdata="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0J7xvQAA&#10;ANsAAAAPAAAAAAAAAAEAIAAAACIAAABkcnMvZG93bnJldi54bWxQSwECFAAUAAAACACHTuJAMy8F&#10;njsAAAA5AAAAEAAAAAAAAAABACAAAAAMAQAAZHJzL3NoYXBleG1sLnhtbFBLBQYAAAAABgAGAFsB&#10;AAC2AwAAAAA=&#10;">
              <v:path arrowok="t"/>
              <v:fill on="f" focussize="0,0"/>
              <v:stroke/>
              <v:imagedata o:title=""/>
              <o:lock v:ext="edit"/>
            </v:shape>
            <v:rect id="矩形 125" o:spid="_x0000_s2112" o:spt="1" style="position:absolute;left:8085;top:7938;height:820;width:2488;" filled="t" coordsize="21600,21600" o:gfxdata="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5moDrsAAADb&#10;AAAADwAAAAAAAAABACAAAAAiAAAAZHJzL2Rvd25yZXYueG1sUEsBAhQAFAAAAAgAh07iQDMvBZ47&#10;AAAAOQAAABAAAAAAAAAAAQAgAAAACgEAAGRycy9zaGFwZXhtbC54bWxQSwUGAAAAAAYABgBbAQAA&#10;tAMAAAAA&#10;">
              <v:path/>
              <v:fill type="pattern" on="t" o:title="image1" focussize="0,0" r:id="rId10"/>
              <v:stroke/>
              <v:imagedata o:title=""/>
              <o:lock v:ext="edit"/>
            </v:rect>
            <v:shape id="文本框 126" o:spid="_x0000_s2113" o:spt="202" type="#_x0000_t202" style="position:absolute;left:8433;top:8108;height:495;width:1913;" filled="f" stroked="f" coordsize="21600,21600" o:gfxdata="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jvOI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声频信号发生器</w:t>
                    </w:r>
                  </w:p>
                  <w:p/>
                </w:txbxContent>
              </v:textbox>
            </v:shape>
            <v:shape id="文本框 127" o:spid="_x0000_s2114" o:spt="202" type="#_x0000_t202" style="position:absolute;left:5607;top:5816;height:1021;width:694;" filled="f" stroked="f" coordsize="21600,21600" o:gfxdata="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CYffe/&#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传声器</w:t>
                    </w:r>
                  </w:p>
                </w:txbxContent>
              </v:textbox>
            </v:shape>
            <v:shape id="自选图形 128" o:spid="_x0000_s2115" o:spt="22" type="#_x0000_t22" style="position:absolute;left:5676;top:6015;height:453;width:143;" fillcolor="#A5A5A5" filled="t" stroked="t" coordsize="21600,21600" o:gfxdata="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qjSu8AAAA&#10;2wAAAA8AAAAAAAAAAQAgAAAAIgAAAGRycy9kb3ducmV2LnhtbFBLAQIUABQAAAAIAIdO4kAzLwWe&#10;OwAAADkAAAAQAAAAAAAAAAEAIAAAAAsBAABkcnMvc2hhcGV4bWwueG1sUEsFBgAAAAAGAAYAWwEA&#10;ALUDAAAAAA==&#10;">
              <v:path/>
              <v:fill on="t" focussize="0,0"/>
              <v:stroke color="#0D0D0D"/>
              <v:imagedata o:title=""/>
              <o:lock v:ext="edit"/>
            </v:shape>
            <v:shape id="自选图形 129" o:spid="_x0000_s2116" o:spt="34" type="#_x0000_t34" style="position:absolute;left:3851;top:7274;height:1085;width:1164;" filled="f" coordsize="21600,21600" o:gfxdata="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7+Ehr4A&#10;AADbAAAADwAAAAAAAAABACAAAAAiAAAAZHJzL2Rvd25yZXYueG1sUEsBAhQAFAAAAAgAh07iQDMv&#10;BZ47AAAAOQAAABAAAAAAAAAAAQAgAAAADQEAAGRycy9zaGFwZXhtbC54bWxQSwUGAAAAAAYABgBb&#10;AQAAtwMAAAAA&#10;" adj="223">
              <v:path arrowok="t"/>
              <v:fill on="f" focussize="0,0"/>
              <v:stroke joinstyle="miter"/>
              <v:imagedata o:title=""/>
              <o:lock v:ext="edit"/>
            </v:shape>
            <v:rect id="矩形 130" o:spid="_x0000_s2117" o:spt="1" style="position:absolute;left:9345;top:5846;height:1770;width:1048;" filled="t" coordsize="21600,21600" o:gfxdata="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pPTp/tAAAANsAAAAPAAAA&#10;AAAAAAEAIAAAACIAAABkcnMvZG93bnJldi54bWxQSwECFAAUAAAACACHTuJAMy8FnjsAAAA5AAAA&#10;EAAAAAAAAAABACAAAAADAQAAZHJzL3NoYXBleG1sLnhtbFBLBQYAAAAABgAGAFsBAACtAwAAAAA=&#10;">
              <v:path/>
              <v:fill type="pattern" on="t" o:title="image1" focussize="0,0" r:id="rId10"/>
              <v:stroke/>
              <v:imagedata o:title=""/>
              <o:lock v:ext="edit"/>
            </v:rect>
            <v:shape id="文本框 131" o:spid="_x0000_s2118" o:spt="202" type="#_x0000_t202" style="position:absolute;left:9495;top:5997;height:1421;width:680;" filled="f" stroked="f" coordsize="21600,21600" o:gfxdata="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HVd/K/&#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声分析仪</w:t>
                    </w:r>
                  </w:p>
                  <w:p/>
                </w:txbxContent>
              </v:textbox>
            </v:shape>
            <v:rect id="矩形 132" o:spid="_x0000_s2119" o:spt="1" style="position:absolute;left:3105;top:5595;height:2178;width:5519;" filled="f" coordsize="21600,21600" o:gfxdata="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xz/+5AAAA2wAA&#10;AA8AAAAAAAAAAQAgAAAAIgAAAGRycy9kb3ducmV2LnhtbFBLAQIUABQAAAAIAIdO4kAzLwWeOwAA&#10;ADkAAAAQAAAAAAAAAAEAIAAAAAgBAABkcnMvc2hhcGV4bWwueG1sUEsFBgAAAAAGAAYAWwEAALID&#10;AAAAAA==&#10;">
              <v:path/>
              <v:fill on="f" focussize="0,0"/>
              <v:stroke/>
              <v:imagedata o:title=""/>
              <o:lock v:ext="edit"/>
            </v:rect>
            <v:rect id="矩形 133" o:spid="_x0000_s2120" o:spt="1" style="position:absolute;left:3244;top:5595;height:2058;width:5258;" filled="f" coordsize="21600,21600" o:gfxdata="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fWpkvQAA&#10;ANsAAAAPAAAAAAAAAAEAIAAAACIAAABkcnMvZG93bnJldi54bWxQSwECFAAUAAAACACHTuJAMy8F&#10;njsAAAA5AAAAEAAAAAAAAAABACAAAAAMAQAAZHJzL3NoYXBleG1sLnhtbFBLBQYAAAAABgAGAFsB&#10;AAC2AwAAAAA=&#10;">
              <v:path/>
              <v:fill on="f" focussize="0,0"/>
              <v:stroke/>
              <v:imagedata o:title=""/>
              <o:lock v:ext="edit"/>
            </v:rect>
            <v:shape id="自选图形 134" o:spid="_x0000_s2121" o:spt="34" type="#_x0000_t34" style="position:absolute;left:5744;top:6429;height:534;width:3601;" filled="f" coordsize="21600,21600" o:gfxdata="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V1zr4A&#10;AADbAAAADwAAAAAAAAABACAAAAAiAAAAZHJzL2Rvd25yZXYueG1sUEsBAhQAFAAAAAgAh07iQDMv&#10;BZ47AAAAOQAAABAAAAAAAAAAAQAgAAAADQEAAGRycy9zaGFwZXhtbC54bWxQSwUGAAAAAAYABgBb&#10;AQAAtwMAAAAA&#10;" adj="90">
              <v:path arrowok="t"/>
              <v:fill on="f" focussize="0,0"/>
              <v:stroke joinstyle="miter"/>
              <v:imagedata o:title=""/>
              <o:lock v:ext="edit"/>
            </v:shape>
            <v:shape id="文本框 135" o:spid="_x0000_s2122" o:spt="202" type="#_x0000_t202" style="position:absolute;left:7264;top:5718;height:422;width:1031;" filled="f" stroked="f" coordsize="21600,21600" o:gfxdata="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6+/SG8AAAA&#10;2w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r>
                      <w:rPr>
                        <w:rFonts w:hint="eastAsia"/>
                      </w:rPr>
                      <w:t>观察室</w:t>
                    </w:r>
                  </w:p>
                </w:txbxContent>
              </v:textbox>
            </v:shape>
            <w10:wrap type="none"/>
            <w10:anchorlock/>
          </v:group>
        </w:pict>
      </w:r>
    </w:p>
    <w:p>
      <w:pPr>
        <w:numPr>
          <w:ilvl w:val="255"/>
          <w:numId w:val="0"/>
        </w:numPr>
        <w:adjustRightInd w:val="0"/>
        <w:snapToGrid w:val="0"/>
        <w:spacing w:line="300" w:lineRule="auto"/>
        <w:ind w:firstLine="480" w:firstLineChars="200"/>
        <w:jc w:val="center"/>
        <w:rPr>
          <w:rFonts w:hint="eastAsia"/>
          <w:sz w:val="24"/>
        </w:rPr>
      </w:pPr>
      <w:r>
        <w:rPr>
          <w:rFonts w:hint="eastAsia"/>
          <w:sz w:val="24"/>
        </w:rPr>
        <w:t>图4  试听室与观察室间隔声量测量示意图</w:t>
      </w:r>
    </w:p>
    <w:p>
      <w:pPr>
        <w:numPr>
          <w:ilvl w:val="255"/>
          <w:numId w:val="0"/>
        </w:numPr>
        <w:adjustRightInd w:val="0"/>
        <w:snapToGrid w:val="0"/>
        <w:spacing w:line="300" w:lineRule="auto"/>
        <w:ind w:firstLine="480" w:firstLineChars="200"/>
        <w:jc w:val="center"/>
        <w:rPr>
          <w:rFonts w:hint="eastAsia"/>
          <w:sz w:val="24"/>
        </w:rPr>
      </w:pPr>
    </w:p>
    <w:p>
      <w:pPr>
        <w:spacing w:line="300" w:lineRule="auto"/>
        <w:rPr>
          <w:sz w:val="24"/>
        </w:rPr>
      </w:pPr>
      <w:r>
        <w:rPr>
          <w:rFonts w:hint="eastAsia"/>
          <w:sz w:val="24"/>
        </w:rPr>
        <w:t>7.2.6 试听室顶部楼板的撞击声压级</w:t>
      </w:r>
    </w:p>
    <w:p>
      <w:pPr>
        <w:numPr>
          <w:ilvl w:val="255"/>
          <w:numId w:val="0"/>
        </w:numPr>
        <w:adjustRightInd w:val="0"/>
        <w:snapToGrid w:val="0"/>
        <w:spacing w:line="300" w:lineRule="auto"/>
        <w:rPr>
          <w:sz w:val="24"/>
        </w:rPr>
      </w:pPr>
      <w:r>
        <w:rPr>
          <w:rFonts w:hint="eastAsia"/>
          <w:sz w:val="24"/>
        </w:rPr>
        <w:t>7.2.6.1  试听室顶部楼板的撞击声压级测量仪器连接如图5所示。测量时，试听室门窗均为密闭状态。测量前，用声校准器对工作标准传声器进行校准。</w:t>
      </w:r>
    </w:p>
    <w:p>
      <w:pPr>
        <w:numPr>
          <w:ilvl w:val="255"/>
          <w:numId w:val="0"/>
        </w:numPr>
        <w:adjustRightInd w:val="0"/>
        <w:snapToGrid w:val="0"/>
        <w:spacing w:line="300" w:lineRule="auto"/>
        <w:rPr>
          <w:sz w:val="24"/>
        </w:rPr>
      </w:pPr>
      <w:r>
        <w:rPr>
          <w:rFonts w:hint="eastAsia"/>
          <w:sz w:val="24"/>
        </w:rPr>
        <w:t>7.2.6.2  撞击声由标准撞击器撞击试听室顶部楼板产生。撞击器的位置与楼板边界间的距离应不小于0.5 m。撞击器放置在楼板上至少四个不同的位置，每个撞击器位置至少有均匀分布在试听室的四个传声器位置。传声器之间的距离宜不小于0.7 m，传声器与边界面之间的距离宜不小于0.5 m，传声器与顶部楼板之间的距离宜不小于1.0 m。</w:t>
      </w:r>
    </w:p>
    <w:p>
      <w:pPr>
        <w:numPr>
          <w:ilvl w:val="255"/>
          <w:numId w:val="0"/>
        </w:numPr>
        <w:adjustRightInd w:val="0"/>
        <w:snapToGrid w:val="0"/>
        <w:spacing w:line="300" w:lineRule="auto"/>
        <w:rPr>
          <w:sz w:val="24"/>
        </w:rPr>
      </w:pPr>
      <w:r>
        <w:rPr>
          <w:rFonts w:hint="eastAsia"/>
          <w:sz w:val="24"/>
        </w:rPr>
        <w:t>7.2.6.2  当撞击噪声级稳定时，测量每个传声器位置100 Hz ~5000 Hz频率范围内各个1/3倍频程的时间平均声压级，对中心频率160 Hz以及160 Hz以下的频带，测量平均时间至少为30 s，对中心频率在160 Hz以上的频带，测量时间至少为10 s。每个1/3倍频程的撞击声压级是以上至少16个测量点的平均值。按式（4）计算标准化撞击声压级，计权标准化撞击声压级根据GB/T 50121规定的方法计算可得。</w:t>
      </w:r>
    </w:p>
    <w:p>
      <w:pPr>
        <w:numPr>
          <w:ilvl w:val="255"/>
          <w:numId w:val="0"/>
        </w:numPr>
        <w:adjustRightInd w:val="0"/>
        <w:snapToGrid w:val="0"/>
        <w:spacing w:line="300" w:lineRule="auto"/>
        <w:jc w:val="center"/>
        <w:rPr>
          <w:sz w:val="24"/>
        </w:rPr>
      </w:pPr>
      <w:r>
        <w:rPr>
          <w:position w:val="-30"/>
          <w:sz w:val="24"/>
        </w:rPr>
        <w:object>
          <v:shape id="_x0000_i1027" o:spt="75" type="#_x0000_t75" style="height:34.35pt;width:92.1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sz w:val="24"/>
        </w:rPr>
        <w:t xml:space="preserve">      （4）</w:t>
      </w:r>
    </w:p>
    <w:p>
      <w:pPr>
        <w:numPr>
          <w:ilvl w:val="255"/>
          <w:numId w:val="0"/>
        </w:numPr>
        <w:adjustRightInd w:val="0"/>
        <w:snapToGrid w:val="0"/>
        <w:spacing w:line="300" w:lineRule="auto"/>
        <w:jc w:val="left"/>
        <w:rPr>
          <w:sz w:val="24"/>
        </w:rPr>
      </w:pPr>
      <w:r>
        <w:rPr>
          <w:rFonts w:hint="eastAsia"/>
          <w:sz w:val="24"/>
        </w:rPr>
        <w:t>式中：</w:t>
      </w:r>
    </w:p>
    <w:p>
      <w:pPr>
        <w:numPr>
          <w:ilvl w:val="255"/>
          <w:numId w:val="0"/>
        </w:numPr>
        <w:adjustRightInd w:val="0"/>
        <w:snapToGrid w:val="0"/>
        <w:spacing w:line="300" w:lineRule="auto"/>
        <w:ind w:firstLine="480" w:firstLineChars="200"/>
        <w:jc w:val="left"/>
        <w:rPr>
          <w:sz w:val="24"/>
        </w:rPr>
      </w:pPr>
      <w:r>
        <w:rPr>
          <w:rFonts w:hint="eastAsia"/>
          <w:i/>
          <w:sz w:val="24"/>
        </w:rPr>
        <w:t>L</w:t>
      </w:r>
      <w:r>
        <w:rPr>
          <w:rFonts w:hint="eastAsia"/>
          <w:sz w:val="24"/>
          <w:vertAlign w:val="subscript"/>
        </w:rPr>
        <w:t>i</w:t>
      </w:r>
      <w:r>
        <w:rPr>
          <w:rFonts w:hint="eastAsia"/>
          <w:sz w:val="24"/>
        </w:rPr>
        <w:t>――试听室内的1/3倍频程平均频带声压级，dB；</w:t>
      </w:r>
    </w:p>
    <w:p>
      <w:pPr>
        <w:numPr>
          <w:ilvl w:val="255"/>
          <w:numId w:val="0"/>
        </w:numPr>
        <w:adjustRightInd w:val="0"/>
        <w:snapToGrid w:val="0"/>
        <w:spacing w:line="300" w:lineRule="auto"/>
        <w:ind w:firstLine="480" w:firstLineChars="200"/>
        <w:jc w:val="left"/>
        <w:rPr>
          <w:sz w:val="24"/>
        </w:rPr>
      </w:pPr>
      <w:r>
        <w:rPr>
          <w:rFonts w:hint="eastAsia"/>
          <w:i/>
          <w:sz w:val="24"/>
        </w:rPr>
        <w:t>T</w:t>
      </w:r>
      <w:r>
        <w:rPr>
          <w:rFonts w:hint="eastAsia"/>
          <w:sz w:val="24"/>
        </w:rPr>
        <w:t>――7.2.2中测量得到的试听室混响时间，s；</w:t>
      </w:r>
    </w:p>
    <w:p>
      <w:pPr>
        <w:numPr>
          <w:ilvl w:val="255"/>
          <w:numId w:val="0"/>
        </w:numPr>
        <w:adjustRightInd w:val="0"/>
        <w:snapToGrid w:val="0"/>
        <w:spacing w:line="300" w:lineRule="auto"/>
        <w:ind w:firstLine="480" w:firstLineChars="200"/>
        <w:jc w:val="left"/>
        <w:rPr>
          <w:sz w:val="24"/>
        </w:rPr>
      </w:pPr>
      <w:r>
        <w:rPr>
          <w:rFonts w:hint="eastAsia"/>
          <w:i/>
          <w:sz w:val="24"/>
        </w:rPr>
        <w:t>T</w:t>
      </w:r>
      <w:r>
        <w:rPr>
          <w:rFonts w:hint="eastAsia"/>
          <w:sz w:val="24"/>
          <w:vertAlign w:val="subscript"/>
        </w:rPr>
        <w:t>0</w:t>
      </w:r>
      <w:r>
        <w:rPr>
          <w:rFonts w:hint="eastAsia"/>
          <w:sz w:val="24"/>
        </w:rPr>
        <w:t>――参考混响时间，</w:t>
      </w:r>
      <w:r>
        <w:rPr>
          <w:rFonts w:hint="eastAsia"/>
          <w:i/>
          <w:sz w:val="24"/>
        </w:rPr>
        <w:t>T</w:t>
      </w:r>
      <w:r>
        <w:rPr>
          <w:rFonts w:hint="eastAsia"/>
          <w:iCs/>
          <w:sz w:val="24"/>
          <w:vertAlign w:val="subscript"/>
        </w:rPr>
        <w:t>0</w:t>
      </w:r>
      <w:r>
        <w:rPr>
          <w:rFonts w:hint="eastAsia"/>
          <w:iCs/>
          <w:sz w:val="24"/>
        </w:rPr>
        <w:t xml:space="preserve">＝0.5 </w:t>
      </w:r>
      <w:r>
        <w:rPr>
          <w:rFonts w:hint="eastAsia"/>
          <w:sz w:val="24"/>
        </w:rPr>
        <w:t>s。</w:t>
      </w:r>
    </w:p>
    <w:p>
      <w:pPr>
        <w:numPr>
          <w:ilvl w:val="255"/>
          <w:numId w:val="0"/>
        </w:numPr>
        <w:adjustRightInd w:val="0"/>
        <w:snapToGrid w:val="0"/>
        <w:spacing w:line="300" w:lineRule="auto"/>
        <w:rPr>
          <w:sz w:val="24"/>
        </w:rPr>
      </w:pPr>
    </w:p>
    <w:p>
      <w:pPr>
        <w:numPr>
          <w:ilvl w:val="255"/>
          <w:numId w:val="0"/>
        </w:numPr>
        <w:adjustRightInd w:val="0"/>
        <w:snapToGrid w:val="0"/>
        <w:spacing w:line="300" w:lineRule="auto"/>
        <w:jc w:val="center"/>
        <w:rPr>
          <w:sz w:val="24"/>
        </w:rPr>
      </w:pPr>
      <w:r>
        <w:rPr>
          <w:sz w:val="24"/>
        </w:rPr>
        <w:pict>
          <v:group id="_x0000_s2123" o:spid="_x0000_s2123" o:spt="203" style="height:314pt;width:448.55pt;" coordorigin="1644,3002" coordsize="8971,6280">
            <o:lock v:ext="edit"/>
            <v:rect id="矩形 137" o:spid="_x0000_s2124" o:spt="1" style="position:absolute;left:3256;top:5180;height:4102;width:5518;" filled="t" coordsize="21600,21600" o:gfxdata="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lAzy8AAAA&#10;2wAAAA8AAAAAAAAAAQAgAAAAIgAAAGRycy9kb3ducmV2LnhtbFBLAQIUABQAAAAIAIdO4kAzLwWe&#10;OwAAADkAAAAQAAAAAAAAAAEAIAAAAAsBAABkcnMvc2hhcGV4bWwueG1sUEsFBgAAAAAGAAYAWwEA&#10;ALUDAAAAAA==&#10;">
              <v:path/>
              <v:fill type="pattern" on="t" focussize="0,0"/>
              <v:stroke/>
              <v:imagedata o:title=""/>
              <o:lock v:ext="edit"/>
            </v:rect>
            <v:rect id="矩形 138" o:spid="_x0000_s2125" o:spt="1" style="position:absolute;left:3395;top:5314;height:3850;width:5257;" filled="t" coordsize="21600,21600" o:gfxdata="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jedS7sAAADb&#10;AAAADwAAAAAAAAABACAAAAAiAAAAZHJzL2Rvd25yZXYueG1sUEsBAhQAFAAAAAgAh07iQDMvBZ47&#10;AAAAOQAAABAAAAAAAAAAAQAgAAAACgEAAGRycy9zaGFwZXhtbC54bWxQSwUGAAAAAAYABgBbAQAA&#10;tAMAAAAA&#10;">
              <v:path/>
              <v:fill type="pattern" on="t" focussize="0,0"/>
              <v:stroke/>
              <v:imagedata o:title=""/>
              <o:lock v:ext="edit"/>
            </v:rect>
            <v:shape id="文本框 139" o:spid="_x0000_s2126" o:spt="202" type="#_x0000_t202" style="position:absolute;left:5081;top:3914;height:422;width:1623;" filled="f" stroked="f" coordsize="21600,21600" o:gfxdata="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F+yK8AAAA&#10;2w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r>
                      <w:rPr>
                        <w:rFonts w:hint="eastAsia"/>
                      </w:rPr>
                      <w:t>标准撞击器</w:t>
                    </w:r>
                  </w:p>
                </w:txbxContent>
              </v:textbox>
            </v:shape>
            <v:shape id="文本框 140" o:spid="_x0000_s2127" o:spt="202" type="#_x0000_t202" style="position:absolute;left:3652;top:5584;height:422;width:1031;" filled="f" stroked="f" coordsize="21600,21600" o:gfxdata="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ab1C5AAAA2wAA&#10;AA8AAAAAAAAAAQAgAAAAIgAAAGRycy9kb3ducmV2LnhtbFBLAQIUABQAAAAIAIdO4kAzLwWeOwAA&#10;ADkAAAAQAAAAAAAAAAEAIAAAAAgBAABkcnMvc2hhcGV4bWwueG1sUEsFBgAAAAAGAAYAWwEAALID&#10;AAAAAA==&#10;">
              <v:path/>
              <v:fill on="f" focussize="0,0"/>
              <v:stroke on="f" joinstyle="miter"/>
              <v:imagedata o:title=""/>
              <o:lock v:ext="edit"/>
              <v:textbox>
                <w:txbxContent>
                  <w:p>
                    <w:r>
                      <w:rPr>
                        <w:rFonts w:hint="eastAsia"/>
                      </w:rPr>
                      <w:t>试听室</w:t>
                    </w:r>
                  </w:p>
                </w:txbxContent>
              </v:textbox>
            </v:shape>
            <v:shape id="自选图形 141" o:spid="_x0000_s2128" o:spt="22" type="#_x0000_t22" style="position:absolute;left:4584;top:7021;height:453;width:143;" fillcolor="#A5A5A5" filled="t" stroked="t" coordsize="21600,21600" o:gfxdata="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rI+EvQAA&#10;ANsAAAAPAAAAAAAAAAEAIAAAACIAAABkcnMvZG93bnJldi54bWxQSwECFAAUAAAACACHTuJAMy8F&#10;njsAAAA5AAAAEAAAAAAAAAABACAAAAAMAQAAZHJzL3NoYXBleG1sLnhtbFBLBQYAAAAABgAGAFsB&#10;AAC2AwAAAAA=&#10;">
              <v:path/>
              <v:fill on="t" focussize="0,0"/>
              <v:stroke color="#0D0D0D"/>
              <v:imagedata o:title=""/>
              <o:lock v:ext="edit"/>
            </v:shape>
            <v:shape id="自选图形 142" o:spid="_x0000_s2129" o:spt="34" type="#_x0000_t34" style="position:absolute;left:2692;top:7457;flip:y;height:322;width:1958;rotation:11796480f;" filled="f" coordsize="21600,21600" o:gfxdata="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tsvq5AAAA2wAA&#10;AA8AAAAAAAAAAQAgAAAAIgAAAGRycy9kb3ducmV2LnhtbFBLAQIUABQAAAAIAIdO4kAzLwWeOwAA&#10;ADkAAAAQAAAAAAAAAAEAIAAAAAgBAABkcnMvc2hhcGV4bWwueG1sUEsFBgAAAAAGAAYAWwEAALID&#10;AAAAAA==&#10;" adj="88">
              <v:path arrowok="t"/>
              <v:fill on="f" focussize="0,0"/>
              <v:stroke joinstyle="miter"/>
              <v:imagedata o:title=""/>
              <o:lock v:ext="edit"/>
            </v:shape>
            <v:rect id="矩形 143" o:spid="_x0000_s2130" o:spt="1" style="position:absolute;left:1644;top:6870;height:1770;width:1048;" filled="t" coordsize="21600,21600" o:gfxdata="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At1GLsAAADb&#10;AAAADwAAAAAAAAABACAAAAAiAAAAZHJzL2Rvd25yZXYueG1sUEsBAhQAFAAAAAgAh07iQDMvBZ47&#10;AAAAOQAAABAAAAAAAAAAAQAgAAAACgEAAGRycy9zaGFwZXhtbC54bWxQSwUGAAAAAAYABgBbAQAA&#10;tAMAAAAA&#10;">
              <v:path/>
              <v:fill type="pattern" on="t" focussize="0,0"/>
              <v:stroke/>
              <v:imagedata o:title=""/>
              <o:lock v:ext="edit"/>
            </v:rect>
            <v:shape id="文本框 144" o:spid="_x0000_s2131" o:spt="202" type="#_x0000_t202" style="position:absolute;left:1794;top:7021;height:1417;width:680;" filled="f" stroked="f" coordsize="21600,21600" o:gfxdata="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99A3m/&#10;AAAA2wAAAA8AAAAAAAAAAQAgAAAAIgAAAGRycy9kb3ducmV2LnhtbFBLAQIUABQAAAAIAIdO4kAz&#10;LwWeOwAAADkAAAAQAAAAAAAAAAEAIAAAAA4BAABkcnMvc2hhcGV4bWwueG1sUEsFBgAAAAAGAAYA&#10;WwEAALgDAAAAAA==&#10;">
              <v:path/>
              <v:fill on="f" focussize="0,0"/>
              <v:stroke on="f" joinstyle="miter"/>
              <v:imagedata o:title=""/>
              <o:lock v:ext="edit"/>
              <v:textbox style="layout-flow:vertical-ideographic;">
                <w:txbxContent>
                  <w:p>
                    <w:pPr>
                      <w:rPr>
                        <w:spacing w:val="20"/>
                      </w:rPr>
                    </w:pPr>
                    <w:r>
                      <w:rPr>
                        <w:rFonts w:hint="eastAsia"/>
                        <w:spacing w:val="20"/>
                      </w:rPr>
                      <w:t>声分析仪</w:t>
                    </w:r>
                  </w:p>
                  <w:p/>
                </w:txbxContent>
              </v:textbox>
            </v:shape>
            <v:shape id="文本框 145" o:spid="_x0000_s2132" o:spt="202" type="#_x0000_t202" style="position:absolute;left:4608;top:6758;height:1021;width:694;" filled="f" stroked="f" coordsize="21600,21600" o:gfxdata="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QMabi&#10;wAAAANsAAAAPAAAAAAAAAAEAIAAAACIAAABkcnMvZG93bnJldi54bWxQSwECFAAUAAAACACHTuJA&#10;My8FnjsAAAA5AAAAEAAAAAAAAAABACAAAAAPAQAAZHJzL3NoYXBleG1sLnhtbFBLBQYAAAAABgAG&#10;AFsBAAC5AwAAAAA=&#10;">
              <v:path/>
              <v:fill on="f" focussize="0,0"/>
              <v:stroke on="f" joinstyle="miter"/>
              <v:imagedata o:title=""/>
              <o:lock v:ext="edit"/>
              <v:textbox style="layout-flow:vertical-ideographic;">
                <w:txbxContent>
                  <w:p>
                    <w:pPr>
                      <w:rPr>
                        <w:spacing w:val="20"/>
                      </w:rPr>
                    </w:pPr>
                    <w:r>
                      <w:rPr>
                        <w:rFonts w:hint="eastAsia"/>
                        <w:spacing w:val="20"/>
                      </w:rPr>
                      <w:t>传声器</w:t>
                    </w:r>
                  </w:p>
                </w:txbxContent>
              </v:textbox>
            </v:shape>
            <v:rect id="矩形 147" o:spid="_x0000_s2133" o:spt="1" style="position:absolute;left:3256;top:3002;height:2178;width:5518;" filled="f" coordsize="21600,21600" o:gfxdata="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5McQLsAAADb&#10;AAAADwAAAAAAAAABACAAAAAiAAAAZHJzL2Rvd25yZXYueG1sUEsBAhQAFAAAAAgAh07iQDMvBZ47&#10;AAAAOQAAABAAAAAAAAAAAQAgAAAACgEAAGRycy9zaGFwZXhtbC54bWxQSwUGAAAAAAYABgBbAQAA&#10;tAMAAAAA&#10;">
              <v:path/>
              <v:fill on="f" focussize="0,0"/>
              <v:stroke/>
              <v:imagedata o:title=""/>
              <o:lock v:ext="edit"/>
            </v:rect>
            <v:rect id="矩形 148" o:spid="_x0000_s2134" o:spt="1" style="position:absolute;left:3395;top:3122;height:2058;width:5257;" filled="f" coordsize="21600,21600" o:gfxdata="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0GCN7sAAADb&#10;AAAADwAAAAAAAAABACAAAAAiAAAAZHJzL2Rvd25yZXYueG1sUEsBAhQAFAAAAAgAh07iQDMvBZ47&#10;AAAAOQAAABAAAAAAAAAAAQAgAAAACgEAAGRycy9zaGFwZXhtbC54bWxQSwUGAAAAAAYABgBbAQAA&#10;tAMAAAAA&#10;">
              <v:path/>
              <v:fill on="f" focussize="0,0"/>
              <v:stroke/>
              <v:imagedata o:title=""/>
              <o:lock v:ext="edit"/>
            </v:rect>
            <v:shape id="文本框 149" o:spid="_x0000_s2135" o:spt="202" type="#_x0000_t202" style="position:absolute;left:9130;top:5086;height:482;width:1485;" filled="f" coordsize="21600,21600" o:gfxdata="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GCgxr4A&#10;AADbAAAADwAAAAAAAAABACAAAAAiAAAAZHJzL2Rvd25yZXYueG1sUEsBAhQAFAAAAAgAh07iQDMv&#10;BZ47AAAAOQAAABAAAAAAAAAAAQAgAAAADQEAAGRycy9zaGFwZXhtbC54bWxQSwUGAAAAAAYABgBb&#10;AQAAtwMAAAAA&#10;">
              <v:path/>
              <v:fill on="f" focussize="0,0"/>
              <v:stroke joinstyle="miter"/>
              <v:imagedata o:title=""/>
              <o:lock v:ext="edit"/>
              <v:textbox>
                <w:txbxContent>
                  <w:p>
                    <w:pPr>
                      <w:jc w:val="center"/>
                    </w:pPr>
                    <w:r>
                      <w:rPr>
                        <w:rFonts w:hint="eastAsia"/>
                      </w:rPr>
                      <w:t>试听室楼板</w:t>
                    </w:r>
                  </w:p>
                </w:txbxContent>
              </v:textbox>
            </v:shape>
            <v:rect id="矩形 150" o:spid="_x0000_s2136" o:spt="1" style="position:absolute;left:4991;top:4336;height:495;width:1844;" filled="f" coordsize="21600,21600" o:gfxdata="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mSs965AAAA2wAA&#10;AA8AAAAAAAAAAQAgAAAAIgAAAGRycy9kb3ducmV2LnhtbFBLAQIUABQAAAAIAIdO4kAzLwWeOwAA&#10;ADkAAAAQAAAAAAAAAAEAIAAAAAgBAABkcnMvc2hhcGV4bWwueG1sUEsFBgAAAAAGAAYAWwEAALID&#10;AAAAAA==&#10;">
              <v:path/>
              <v:fill on="f" focussize="0,0"/>
              <v:stroke/>
              <v:imagedata o:title=""/>
              <o:lock v:ext="edit"/>
            </v:rect>
            <v:shape id="自选图形 151" o:spid="_x0000_s2137" o:spt="22" type="#_x0000_t22" style="position:absolute;left:5081;top:4835;flip:y;height:251;width:170;" filled="f" coordsize="21600,21600" o:gfxdata="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AGBi8AAAA&#10;2wAAAA8AAAAAAAAAAQAgAAAAIgAAAGRycy9kb3ducmV2LnhtbFBLAQIUABQAAAAIAIdO4kAzLwWe&#10;OwAAADkAAAAQAAAAAAAAAAEAIAAAAAsBAABkcnMvc2hhcGV4bWwueG1sUEsFBgAAAAAGAAYAWwEA&#10;ALUDAAAAAA==&#10;" adj="5399">
              <v:path/>
              <v:fill on="f" focussize="0,0"/>
              <v:stroke/>
              <v:imagedata o:title=""/>
              <o:lock v:ext="edit"/>
            </v:shape>
            <v:shape id="自选图形 152" o:spid="_x0000_s2138" o:spt="22" type="#_x0000_t22" style="position:absolute;left:5456;top:4835;flip:y;height:251;width:170;" filled="f" coordsize="21600,21600" o:gfxdata="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GMnWLgAAADbAAAA&#10;DwAAAAAAAAABACAAAAAiAAAAZHJzL2Rvd25yZXYueG1sUEsBAhQAFAAAAAgAh07iQDMvBZ47AAAA&#10;OQAAABAAAAAAAAAAAQAgAAAABwEAAGRycy9zaGFwZXhtbC54bWxQSwUGAAAAAAYABgBbAQAAsQMA&#10;AAAA&#10;" adj="5399">
              <v:path/>
              <v:fill on="f" focussize="0,0"/>
              <v:stroke/>
              <v:imagedata o:title=""/>
              <o:lock v:ext="edit"/>
            </v:shape>
            <v:shape id="自选图形 153" o:spid="_x0000_s2139" o:spt="22" type="#_x0000_t22" style="position:absolute;left:5831;top:4835;flip:y;height:251;width:170;" filled="f" coordsize="21600,21600" o:gfxdata="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vgsO8AAAA&#10;2wAAAA8AAAAAAAAAAQAgAAAAIgAAAGRycy9kb3ducmV2LnhtbFBLAQIUABQAAAAIAIdO4kAzLwWe&#10;OwAAADkAAAAQAAAAAAAAAAEAIAAAAAsBAABkcnMvc2hhcGV4bWwueG1sUEsFBgAAAAAGAAYAWwEA&#10;ALUDAAAAAA==&#10;" adj="5399">
              <v:path/>
              <v:fill on="f" focussize="0,0"/>
              <v:stroke/>
              <v:imagedata o:title=""/>
              <o:lock v:ext="edit"/>
            </v:shape>
            <v:shape id="自选图形 154" o:spid="_x0000_s2140" o:spt="22" type="#_x0000_t22" style="position:absolute;left:6250;top:4835;flip:y;height:251;width:170;" filled="f" coordsize="21600,21600" o:gfxdata="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9HLS8AAAA&#10;2wAAAA8AAAAAAAAAAQAgAAAAIgAAAGRycy9kb3ducmV2LnhtbFBLAQIUABQAAAAIAIdO4kAzLwWe&#10;OwAAADkAAAAQAAAAAAAAAAEAIAAAAAsBAABkcnMvc2hhcGV4bWwueG1sUEsFBgAAAAAGAAYAWwEA&#10;ALUDAAAAAA==&#10;" adj="5399">
              <v:path/>
              <v:fill on="f" focussize="0,0"/>
              <v:stroke/>
              <v:imagedata o:title=""/>
              <o:lock v:ext="edit"/>
            </v:shape>
            <v:shape id="自选图形 155" o:spid="_x0000_s2141" o:spt="22" type="#_x0000_t22" style="position:absolute;left:6610;top:4835;flip:y;height:251;width:170;" filled="f" coordsize="21600,21600" o:gfxdata="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xuS+8AAAA&#10;2wAAAA8AAAAAAAAAAQAgAAAAIgAAAGRycy9kb3ducmV2LnhtbFBLAQIUABQAAAAIAIdO4kAzLwWe&#10;OwAAADkAAAAQAAAAAAAAAAEAIAAAAAsBAABkcnMvc2hhcGV4bWwueG1sUEsFBgAAAAAGAAYAWwEA&#10;ALUDAAAAAA==&#10;" adj="5399">
              <v:path/>
              <v:fill on="f" focussize="0,0"/>
              <v:stroke/>
              <v:imagedata o:title=""/>
              <o:lock v:ext="edit"/>
            </v:shape>
            <v:shape id="自选图形 156" o:spid="_x0000_s2142" o:spt="32" type="#_x0000_t32" style="position:absolute;left:8485;top:5255;flip:x;height:1;width:645;" filled="f" coordsize="21600,21600" o:gfxdata="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RW5Db4A&#10;AADbAAAADwAAAAAAAAABACAAAAAiAAAAZHJzL2Rvd25yZXYueG1sUEsBAhQAFAAAAAgAh07iQDMv&#10;BZ47AAAAOQAAABAAAAAAAAAAAQAgAAAADQEAAGRycy9zaGFwZXhtbC54bWxQSwUGAAAAAAYABgBb&#10;AQAAtwMAAAAA&#10;">
              <v:path arrowok="t"/>
              <v:fill on="f" focussize="0,0"/>
              <v:stroke endarrow="block"/>
              <v:imagedata o:title=""/>
              <o:lock v:ext="edit"/>
            </v:shape>
            <w10:wrap type="none"/>
            <w10:anchorlock/>
          </v:group>
        </w:pict>
      </w:r>
    </w:p>
    <w:p>
      <w:pPr>
        <w:numPr>
          <w:ilvl w:val="255"/>
          <w:numId w:val="0"/>
        </w:numPr>
        <w:adjustRightInd w:val="0"/>
        <w:snapToGrid w:val="0"/>
        <w:spacing w:line="300" w:lineRule="auto"/>
        <w:ind w:firstLine="480" w:firstLineChars="200"/>
        <w:jc w:val="center"/>
        <w:rPr>
          <w:sz w:val="24"/>
        </w:rPr>
      </w:pPr>
      <w:r>
        <w:rPr>
          <w:rFonts w:hint="eastAsia"/>
          <w:sz w:val="24"/>
        </w:rPr>
        <w:t>图5  试听室顶部楼板的撞击声压级测量示意图</w:t>
      </w:r>
    </w:p>
    <w:p>
      <w:pPr>
        <w:numPr>
          <w:ilvl w:val="255"/>
          <w:numId w:val="0"/>
        </w:numPr>
        <w:adjustRightInd w:val="0"/>
        <w:snapToGrid w:val="0"/>
        <w:spacing w:line="300" w:lineRule="auto"/>
        <w:ind w:firstLine="480" w:firstLineChars="200"/>
        <w:jc w:val="center"/>
        <w:rPr>
          <w:sz w:val="24"/>
        </w:rPr>
      </w:pPr>
    </w:p>
    <w:p>
      <w:pPr>
        <w:pStyle w:val="2"/>
        <w:numPr>
          <w:ilvl w:val="0"/>
          <w:numId w:val="4"/>
        </w:numPr>
        <w:spacing w:beforeLines="50" w:afterLines="50" w:line="300" w:lineRule="auto"/>
        <w:ind w:left="0" w:firstLine="0"/>
      </w:pPr>
      <w:bookmarkStart w:id="67" w:name="_Toc14394"/>
      <w:r>
        <w:rPr>
          <w:rFonts w:hint="eastAsia" w:ascii="黑体" w:hAnsi="Times New Roman" w:eastAsia="黑体"/>
          <w:b w:val="0"/>
        </w:rPr>
        <w:t>测试结果表达</w:t>
      </w:r>
      <w:bookmarkEnd w:id="67"/>
    </w:p>
    <w:p>
      <w:pPr>
        <w:pStyle w:val="3"/>
        <w:numPr>
          <w:ilvl w:val="1"/>
          <w:numId w:val="11"/>
        </w:numPr>
        <w:tabs>
          <w:tab w:val="left" w:pos="630"/>
          <w:tab w:val="clear" w:pos="420"/>
        </w:tabs>
        <w:spacing w:line="300" w:lineRule="auto"/>
      </w:pPr>
      <w:bookmarkStart w:id="68" w:name="_Toc10541"/>
      <w:r>
        <w:rPr>
          <w:rFonts w:hint="eastAsia"/>
        </w:rPr>
        <w:t>测试数据处理</w:t>
      </w:r>
      <w:bookmarkEnd w:id="68"/>
    </w:p>
    <w:p>
      <w:pPr>
        <w:spacing w:line="300" w:lineRule="auto"/>
        <w:ind w:left="360"/>
        <w:rPr>
          <w:sz w:val="24"/>
        </w:rPr>
      </w:pPr>
      <w:r>
        <w:rPr>
          <w:rFonts w:hint="eastAsia"/>
          <w:sz w:val="24"/>
        </w:rPr>
        <w:t>所有的数据应先计算，后修约。混响时间修约到0.01 s，其他项目均修约到0.1 dB。</w:t>
      </w:r>
    </w:p>
    <w:p>
      <w:pPr>
        <w:pStyle w:val="3"/>
        <w:numPr>
          <w:ilvl w:val="1"/>
          <w:numId w:val="11"/>
        </w:numPr>
        <w:tabs>
          <w:tab w:val="left" w:pos="630"/>
          <w:tab w:val="clear" w:pos="420"/>
        </w:tabs>
        <w:spacing w:line="300" w:lineRule="auto"/>
        <w:rPr>
          <w:szCs w:val="24"/>
        </w:rPr>
      </w:pPr>
      <w:bookmarkStart w:id="69" w:name="_Toc28930"/>
      <w:r>
        <w:rPr>
          <w:rFonts w:hint="eastAsia"/>
          <w:szCs w:val="24"/>
        </w:rPr>
        <w:t>测试证书</w:t>
      </w:r>
      <w:bookmarkEnd w:id="69"/>
    </w:p>
    <w:p>
      <w:pPr>
        <w:widowControl/>
        <w:tabs>
          <w:tab w:val="center" w:pos="4201"/>
          <w:tab w:val="right" w:leader="dot" w:pos="9298"/>
        </w:tabs>
        <w:autoSpaceDE w:val="0"/>
        <w:autoSpaceDN w:val="0"/>
        <w:spacing w:line="300" w:lineRule="auto"/>
        <w:ind w:firstLine="480"/>
        <w:rPr>
          <w:sz w:val="24"/>
        </w:rPr>
      </w:pPr>
      <w:r>
        <w:rPr>
          <w:rFonts w:hint="eastAsia"/>
          <w:sz w:val="24"/>
        </w:rPr>
        <w:t>试听室经过测试，出具测试证书</w:t>
      </w:r>
      <w:r>
        <w:rPr>
          <w:sz w:val="24"/>
        </w:rPr>
        <w:t>。</w:t>
      </w:r>
      <w:bookmarkStart w:id="70" w:name="_Hlt156052426"/>
      <w:bookmarkEnd w:id="70"/>
      <w:bookmarkStart w:id="71" w:name="_Hlt143424914"/>
      <w:bookmarkEnd w:id="71"/>
      <w:bookmarkStart w:id="72" w:name="_Hlt156038040"/>
      <w:bookmarkEnd w:id="72"/>
      <w:bookmarkStart w:id="73" w:name="_Hlt143424966"/>
      <w:r>
        <w:rPr>
          <w:rFonts w:hint="eastAsia"/>
          <w:sz w:val="24"/>
        </w:rPr>
        <w:t>测试结果应给出测量结果的不确定度，测试证书的内容及内页格式见附录A。</w:t>
      </w:r>
    </w:p>
    <w:p>
      <w:pPr>
        <w:widowControl/>
        <w:tabs>
          <w:tab w:val="center" w:pos="4201"/>
          <w:tab w:val="right" w:leader="dot" w:pos="9298"/>
        </w:tabs>
        <w:autoSpaceDE w:val="0"/>
        <w:autoSpaceDN w:val="0"/>
        <w:spacing w:line="300" w:lineRule="auto"/>
        <w:ind w:firstLine="480"/>
        <w:rPr>
          <w:sz w:val="24"/>
        </w:rPr>
      </w:pPr>
      <w:r>
        <w:rPr>
          <w:rFonts w:hint="eastAsia"/>
          <w:sz w:val="24"/>
        </w:rPr>
        <w:t>测试证书应至少包括以下信息：</w:t>
      </w:r>
    </w:p>
    <w:p>
      <w:pPr>
        <w:widowControl/>
        <w:tabs>
          <w:tab w:val="center" w:pos="4201"/>
          <w:tab w:val="right" w:leader="dot" w:pos="9298"/>
        </w:tabs>
        <w:autoSpaceDE w:val="0"/>
        <w:autoSpaceDN w:val="0"/>
        <w:spacing w:line="300" w:lineRule="auto"/>
        <w:ind w:firstLine="480"/>
        <w:rPr>
          <w:sz w:val="24"/>
        </w:rPr>
      </w:pPr>
      <w:r>
        <w:rPr>
          <w:rFonts w:hint="eastAsia"/>
          <w:sz w:val="24"/>
        </w:rPr>
        <w:t>a）标题：“测试证书”；</w:t>
      </w:r>
    </w:p>
    <w:p>
      <w:pPr>
        <w:widowControl/>
        <w:tabs>
          <w:tab w:val="center" w:pos="4201"/>
          <w:tab w:val="right" w:leader="dot" w:pos="9298"/>
        </w:tabs>
        <w:autoSpaceDE w:val="0"/>
        <w:autoSpaceDN w:val="0"/>
        <w:spacing w:line="300" w:lineRule="auto"/>
        <w:ind w:firstLine="480"/>
        <w:rPr>
          <w:sz w:val="24"/>
        </w:rPr>
      </w:pPr>
      <w:r>
        <w:rPr>
          <w:rFonts w:hint="eastAsia"/>
          <w:sz w:val="24"/>
        </w:rPr>
        <w:t>b）实验室名称和地址；</w:t>
      </w:r>
    </w:p>
    <w:p>
      <w:pPr>
        <w:widowControl/>
        <w:tabs>
          <w:tab w:val="center" w:pos="4201"/>
          <w:tab w:val="right" w:leader="dot" w:pos="9298"/>
        </w:tabs>
        <w:autoSpaceDE w:val="0"/>
        <w:autoSpaceDN w:val="0"/>
        <w:spacing w:line="300" w:lineRule="auto"/>
        <w:ind w:firstLine="480"/>
        <w:rPr>
          <w:sz w:val="24"/>
        </w:rPr>
      </w:pPr>
      <w:r>
        <w:rPr>
          <w:rFonts w:hint="eastAsia"/>
          <w:sz w:val="24"/>
        </w:rPr>
        <w:t>c）进行测试的地点（如果与实验室的地址不同）；</w:t>
      </w:r>
    </w:p>
    <w:p>
      <w:pPr>
        <w:widowControl/>
        <w:tabs>
          <w:tab w:val="center" w:pos="4201"/>
          <w:tab w:val="right" w:leader="dot" w:pos="9298"/>
        </w:tabs>
        <w:autoSpaceDE w:val="0"/>
        <w:autoSpaceDN w:val="0"/>
        <w:spacing w:line="300" w:lineRule="auto"/>
        <w:ind w:firstLine="480"/>
        <w:rPr>
          <w:sz w:val="24"/>
        </w:rPr>
      </w:pPr>
      <w:r>
        <w:rPr>
          <w:rFonts w:hint="eastAsia"/>
          <w:sz w:val="24"/>
        </w:rPr>
        <w:t>d）证书的唯一性标识（如编号），每页及总页数的标识；</w:t>
      </w:r>
    </w:p>
    <w:p>
      <w:pPr>
        <w:widowControl/>
        <w:tabs>
          <w:tab w:val="center" w:pos="4201"/>
          <w:tab w:val="right" w:leader="dot" w:pos="9298"/>
        </w:tabs>
        <w:autoSpaceDE w:val="0"/>
        <w:autoSpaceDN w:val="0"/>
        <w:spacing w:line="300" w:lineRule="auto"/>
        <w:ind w:firstLine="480"/>
        <w:rPr>
          <w:sz w:val="24"/>
        </w:rPr>
      </w:pPr>
      <w:r>
        <w:rPr>
          <w:rFonts w:hint="eastAsia"/>
          <w:sz w:val="24"/>
        </w:rPr>
        <w:t>e）客户的名称和地址；</w:t>
      </w:r>
    </w:p>
    <w:p>
      <w:pPr>
        <w:widowControl/>
        <w:tabs>
          <w:tab w:val="center" w:pos="4201"/>
          <w:tab w:val="right" w:leader="dot" w:pos="9298"/>
        </w:tabs>
        <w:autoSpaceDE w:val="0"/>
        <w:autoSpaceDN w:val="0"/>
        <w:spacing w:line="300" w:lineRule="auto"/>
        <w:ind w:firstLine="480"/>
        <w:rPr>
          <w:sz w:val="24"/>
        </w:rPr>
      </w:pPr>
      <w:r>
        <w:rPr>
          <w:rFonts w:hint="eastAsia"/>
          <w:sz w:val="24"/>
        </w:rPr>
        <w:t>f）被测对象的描述和明确标识；</w:t>
      </w:r>
    </w:p>
    <w:p>
      <w:pPr>
        <w:widowControl/>
        <w:tabs>
          <w:tab w:val="center" w:pos="4201"/>
          <w:tab w:val="right" w:leader="dot" w:pos="9298"/>
        </w:tabs>
        <w:autoSpaceDE w:val="0"/>
        <w:autoSpaceDN w:val="0"/>
        <w:spacing w:line="300" w:lineRule="auto"/>
        <w:ind w:firstLine="480"/>
        <w:rPr>
          <w:sz w:val="24"/>
        </w:rPr>
      </w:pPr>
      <w:r>
        <w:rPr>
          <w:rFonts w:hint="eastAsia"/>
          <w:sz w:val="24"/>
        </w:rPr>
        <w:t>g）进行测试的日期，如果与测试结果的有效性和应用有关时，应说明被测对象的接收日期；</w:t>
      </w:r>
    </w:p>
    <w:p>
      <w:pPr>
        <w:widowControl/>
        <w:tabs>
          <w:tab w:val="center" w:pos="4201"/>
          <w:tab w:val="right" w:leader="dot" w:pos="9298"/>
        </w:tabs>
        <w:autoSpaceDE w:val="0"/>
        <w:autoSpaceDN w:val="0"/>
        <w:spacing w:line="300" w:lineRule="auto"/>
        <w:ind w:firstLine="480"/>
        <w:rPr>
          <w:sz w:val="24"/>
        </w:rPr>
      </w:pPr>
      <w:r>
        <w:rPr>
          <w:rFonts w:hint="eastAsia"/>
          <w:sz w:val="24"/>
        </w:rPr>
        <w:t>h）如果与测试结果的有效性应用有关时，应对被测样品的抽样程序进行说明；</w:t>
      </w:r>
    </w:p>
    <w:p>
      <w:pPr>
        <w:widowControl/>
        <w:tabs>
          <w:tab w:val="center" w:pos="4201"/>
          <w:tab w:val="right" w:leader="dot" w:pos="9298"/>
        </w:tabs>
        <w:autoSpaceDE w:val="0"/>
        <w:autoSpaceDN w:val="0"/>
        <w:spacing w:line="300" w:lineRule="auto"/>
        <w:ind w:firstLine="480"/>
        <w:rPr>
          <w:sz w:val="24"/>
        </w:rPr>
      </w:pPr>
      <w:r>
        <w:rPr>
          <w:rFonts w:hint="eastAsia"/>
          <w:sz w:val="24"/>
        </w:rPr>
        <w:t>i）测试所依据的技术规范的标识，包括名称及代号；</w:t>
      </w:r>
    </w:p>
    <w:p>
      <w:pPr>
        <w:widowControl/>
        <w:tabs>
          <w:tab w:val="center" w:pos="4201"/>
          <w:tab w:val="right" w:leader="dot" w:pos="9298"/>
        </w:tabs>
        <w:autoSpaceDE w:val="0"/>
        <w:autoSpaceDN w:val="0"/>
        <w:spacing w:line="300" w:lineRule="auto"/>
        <w:ind w:firstLine="480"/>
        <w:rPr>
          <w:sz w:val="24"/>
        </w:rPr>
      </w:pPr>
      <w:r>
        <w:rPr>
          <w:rFonts w:hint="eastAsia"/>
          <w:sz w:val="24"/>
        </w:rPr>
        <w:t>j）本次测试所用测量标准的溯源性及有效性说明；</w:t>
      </w:r>
    </w:p>
    <w:p>
      <w:pPr>
        <w:widowControl/>
        <w:tabs>
          <w:tab w:val="center" w:pos="4201"/>
          <w:tab w:val="right" w:leader="dot" w:pos="9298"/>
        </w:tabs>
        <w:autoSpaceDE w:val="0"/>
        <w:autoSpaceDN w:val="0"/>
        <w:spacing w:line="300" w:lineRule="auto"/>
        <w:ind w:firstLine="480"/>
        <w:rPr>
          <w:sz w:val="24"/>
        </w:rPr>
      </w:pPr>
      <w:r>
        <w:rPr>
          <w:rFonts w:hint="eastAsia"/>
          <w:sz w:val="24"/>
        </w:rPr>
        <w:t>k）测试环境的描述；</w:t>
      </w:r>
    </w:p>
    <w:p>
      <w:pPr>
        <w:widowControl/>
        <w:tabs>
          <w:tab w:val="center" w:pos="4201"/>
          <w:tab w:val="right" w:leader="dot" w:pos="9298"/>
        </w:tabs>
        <w:autoSpaceDE w:val="0"/>
        <w:autoSpaceDN w:val="0"/>
        <w:spacing w:line="300" w:lineRule="auto"/>
        <w:ind w:firstLine="480"/>
        <w:rPr>
          <w:sz w:val="24"/>
        </w:rPr>
      </w:pPr>
      <w:r>
        <w:rPr>
          <w:rFonts w:hint="eastAsia"/>
          <w:sz w:val="24"/>
        </w:rPr>
        <w:t>l）测试结果及其测量不确定度的说明；</w:t>
      </w:r>
    </w:p>
    <w:p>
      <w:pPr>
        <w:widowControl/>
        <w:tabs>
          <w:tab w:val="center" w:pos="4201"/>
          <w:tab w:val="right" w:leader="dot" w:pos="9298"/>
        </w:tabs>
        <w:autoSpaceDE w:val="0"/>
        <w:autoSpaceDN w:val="0"/>
        <w:spacing w:line="300" w:lineRule="auto"/>
        <w:ind w:firstLine="480"/>
        <w:rPr>
          <w:sz w:val="24"/>
        </w:rPr>
      </w:pPr>
      <w:r>
        <w:rPr>
          <w:rFonts w:hint="eastAsia"/>
          <w:sz w:val="24"/>
        </w:rPr>
        <w:t>m）对测试规范的偏离的说明；</w:t>
      </w:r>
    </w:p>
    <w:p>
      <w:pPr>
        <w:widowControl/>
        <w:tabs>
          <w:tab w:val="center" w:pos="4201"/>
          <w:tab w:val="right" w:leader="dot" w:pos="9298"/>
        </w:tabs>
        <w:autoSpaceDE w:val="0"/>
        <w:autoSpaceDN w:val="0"/>
        <w:spacing w:line="300" w:lineRule="auto"/>
        <w:ind w:firstLine="480"/>
        <w:rPr>
          <w:sz w:val="24"/>
        </w:rPr>
      </w:pPr>
      <w:r>
        <w:rPr>
          <w:rFonts w:hint="eastAsia"/>
          <w:sz w:val="24"/>
        </w:rPr>
        <w:t>n）测试证书签发人的签名效标识；</w:t>
      </w:r>
    </w:p>
    <w:p>
      <w:pPr>
        <w:widowControl/>
        <w:tabs>
          <w:tab w:val="center" w:pos="4201"/>
          <w:tab w:val="right" w:leader="dot" w:pos="9298"/>
        </w:tabs>
        <w:autoSpaceDE w:val="0"/>
        <w:autoSpaceDN w:val="0"/>
        <w:spacing w:line="300" w:lineRule="auto"/>
        <w:ind w:firstLine="480"/>
        <w:rPr>
          <w:sz w:val="24"/>
        </w:rPr>
      </w:pPr>
      <w:r>
        <w:rPr>
          <w:rFonts w:hint="eastAsia"/>
          <w:sz w:val="24"/>
        </w:rPr>
        <w:t>o）测试结果仅对被测对象有效的说明；</w:t>
      </w:r>
    </w:p>
    <w:p>
      <w:pPr>
        <w:widowControl/>
        <w:tabs>
          <w:tab w:val="center" w:pos="4201"/>
          <w:tab w:val="right" w:leader="dot" w:pos="9298"/>
        </w:tabs>
        <w:autoSpaceDE w:val="0"/>
        <w:autoSpaceDN w:val="0"/>
        <w:spacing w:line="300" w:lineRule="auto"/>
        <w:ind w:firstLine="480"/>
        <w:rPr>
          <w:sz w:val="24"/>
        </w:rPr>
      </w:pPr>
      <w:r>
        <w:rPr>
          <w:rFonts w:hint="eastAsia"/>
          <w:sz w:val="24"/>
        </w:rPr>
        <w:t>p）未经实验室书面批准，不得部分复制证书的声明。</w:t>
      </w:r>
    </w:p>
    <w:p>
      <w:pPr>
        <w:pStyle w:val="3"/>
        <w:numPr>
          <w:ilvl w:val="1"/>
          <w:numId w:val="11"/>
        </w:numPr>
        <w:tabs>
          <w:tab w:val="left" w:pos="630"/>
          <w:tab w:val="clear" w:pos="420"/>
        </w:tabs>
        <w:spacing w:line="300" w:lineRule="auto"/>
        <w:rPr>
          <w:szCs w:val="24"/>
        </w:rPr>
      </w:pPr>
      <w:bookmarkStart w:id="74" w:name="_Toc26469"/>
      <w:r>
        <w:rPr>
          <w:rFonts w:hint="eastAsia"/>
          <w:szCs w:val="24"/>
        </w:rPr>
        <w:t>测试结果的测量不确定度</w:t>
      </w:r>
      <w:bookmarkEnd w:id="74"/>
    </w:p>
    <w:p>
      <w:pPr>
        <w:spacing w:line="300" w:lineRule="auto"/>
        <w:ind w:firstLine="480" w:firstLineChars="200"/>
        <w:rPr>
          <w:sz w:val="24"/>
        </w:rPr>
      </w:pPr>
      <w:r>
        <w:rPr>
          <w:rFonts w:hint="eastAsia"/>
          <w:sz w:val="24"/>
        </w:rPr>
        <w:t>试听室的混响时间测试结果的测量不确定度按JJF 1059.1的要求评定，不确定度评定的实例见附录B。</w:t>
      </w:r>
    </w:p>
    <w:p>
      <w:pPr>
        <w:pStyle w:val="2"/>
        <w:numPr>
          <w:ilvl w:val="0"/>
          <w:numId w:val="4"/>
        </w:numPr>
        <w:spacing w:beforeLines="50" w:afterLines="50" w:line="300" w:lineRule="auto"/>
        <w:ind w:left="0" w:firstLine="0"/>
        <w:rPr>
          <w:rFonts w:ascii="黑体" w:hAnsi="黑体" w:eastAsia="黑体"/>
          <w:b w:val="0"/>
        </w:rPr>
      </w:pPr>
      <w:bookmarkStart w:id="75" w:name="_Toc194"/>
      <w:r>
        <w:rPr>
          <w:rFonts w:hint="eastAsia" w:ascii="黑体" w:hAnsi="黑体" w:eastAsia="黑体"/>
          <w:b w:val="0"/>
        </w:rPr>
        <w:t>复校时间间隔</w:t>
      </w:r>
      <w:bookmarkEnd w:id="75"/>
    </w:p>
    <w:p>
      <w:pPr>
        <w:spacing w:line="300" w:lineRule="auto"/>
        <w:ind w:firstLine="480" w:firstLineChars="200"/>
        <w:rPr>
          <w:sz w:val="24"/>
        </w:rPr>
      </w:pPr>
      <w:r>
        <w:rPr>
          <w:rFonts w:hint="eastAsia"/>
          <w:sz w:val="24"/>
        </w:rPr>
        <w:t>试听室声学特性复校时间间隔建议为3年。复校时间间隔的长短取决于其使用情况，如环境条件、使用频率及测量对象等，因此，使用单位可根据实际使用情况自主决定复校的时间间隔。</w:t>
      </w:r>
    </w:p>
    <w:p>
      <w:pPr>
        <w:adjustRightInd w:val="0"/>
        <w:snapToGrid w:val="0"/>
        <w:spacing w:line="300" w:lineRule="auto"/>
        <w:rPr>
          <w:sz w:val="24"/>
        </w:rPr>
        <w:sectPr>
          <w:headerReference r:id="rId7" w:type="default"/>
          <w:footerReference r:id="rId8" w:type="default"/>
          <w:pgSz w:w="11906" w:h="16838"/>
          <w:pgMar w:top="1474" w:right="1134" w:bottom="1474" w:left="1474" w:header="851" w:footer="992" w:gutter="0"/>
          <w:pgNumType w:start="1"/>
          <w:cols w:space="720" w:num="1"/>
          <w:docGrid w:type="lines" w:linePitch="312" w:charSpace="0"/>
        </w:sectPr>
      </w:pPr>
    </w:p>
    <w:p>
      <w:pPr>
        <w:pStyle w:val="2"/>
      </w:pPr>
      <w:bookmarkStart w:id="76" w:name="_Toc19599"/>
      <w:bookmarkStart w:id="77" w:name="_Toc30133"/>
      <w:bookmarkStart w:id="78" w:name="_Toc13676"/>
      <w:bookmarkStart w:id="79" w:name="_Toc9249"/>
      <w:r>
        <w:t>附录A</w:t>
      </w:r>
      <w:bookmarkEnd w:id="76"/>
      <w:bookmarkEnd w:id="77"/>
      <w:bookmarkEnd w:id="78"/>
      <w:bookmarkEnd w:id="79"/>
    </w:p>
    <w:bookmarkEnd w:id="73"/>
    <w:p>
      <w:pPr>
        <w:pStyle w:val="2"/>
        <w:spacing w:beforeLines="100" w:afterLines="100"/>
        <w:jc w:val="center"/>
      </w:pPr>
      <w:bookmarkStart w:id="80" w:name="_Toc14641"/>
      <w:r>
        <w:rPr>
          <w:rFonts w:hint="eastAsia"/>
        </w:rPr>
        <w:t>测试证书的内页格式</w:t>
      </w:r>
      <w:bookmarkEnd w:id="80"/>
    </w:p>
    <w:p>
      <w:pPr>
        <w:adjustRightInd w:val="0"/>
        <w:snapToGrid w:val="0"/>
        <w:spacing w:line="360" w:lineRule="auto"/>
        <w:ind w:firstLine="480" w:firstLineChars="200"/>
        <w:jc w:val="center"/>
        <w:rPr>
          <w:sz w:val="24"/>
        </w:rPr>
      </w:pPr>
      <w:r>
        <w:rPr>
          <w:rFonts w:hint="eastAsia"/>
          <w:sz w:val="24"/>
        </w:rPr>
        <w:t>表A.1 试听室测试证书的内页格式</w:t>
      </w:r>
    </w:p>
    <w:p>
      <w:r>
        <w:pict>
          <v:rect id="矩形 69" o:spid="_x0000_s2143" o:spt="1" style="position:absolute;left:0pt;margin-top:10.25pt;height:588.8pt;width:459.05pt;mso-position-horizontal:left;mso-position-horizontal-relative:margin;z-index:251664384;v-text-anchor:middle;mso-width-relative:page;mso-height-relative:page;" filled="f" coordsize="21600,21600" o:gfxdata="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PQV2LNcAAAAIAQAADwAAAAAAAAABACAAAAAiAAAAZHJzL2Rvd25y&#10;ZXYueG1sUEsBAhQAFAAAAAgAh07iQCoadJtxAgAA3QQAAA4AAAAAAAAAAQAgAAAAJgEAAGRycy9l&#10;Mm9Eb2MueG1sUEsFBgAAAAAGAAYAWQEAAAkGAAAAAA==&#10;">
            <v:path/>
            <v:fill on="f" focussize="0,0"/>
            <v:stroke weight="1pt"/>
            <v:imagedata o:title=""/>
            <o:lock v:ext="edit"/>
          </v:rect>
        </w:pict>
      </w:r>
    </w:p>
    <w:p>
      <w:pPr>
        <w:ind w:firstLine="400"/>
        <w:jc w:val="center"/>
      </w:pPr>
      <w:r>
        <w:rPr>
          <w:rFonts w:eastAsiaTheme="minorEastAsia"/>
          <w:bCs/>
          <w:sz w:val="20"/>
        </w:rPr>
        <w:t>证书编号</w:t>
      </w:r>
      <w:r>
        <w:rPr>
          <w:rFonts w:eastAsiaTheme="minorEastAsia"/>
          <w:sz w:val="20"/>
        </w:rPr>
        <w:t>×××××××-××××</w:t>
      </w:r>
    </w:p>
    <w:tbl>
      <w:tblPr>
        <w:tblStyle w:val="27"/>
        <w:tblW w:w="872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556"/>
        <w:gridCol w:w="18"/>
        <w:gridCol w:w="900"/>
        <w:gridCol w:w="896"/>
        <w:gridCol w:w="918"/>
        <w:gridCol w:w="788"/>
        <w:gridCol w:w="36"/>
        <w:gridCol w:w="738"/>
        <w:gridCol w:w="860"/>
        <w:gridCol w:w="36"/>
        <w:gridCol w:w="336"/>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8727" w:type="dxa"/>
            <w:gridSpan w:val="13"/>
          </w:tcPr>
          <w:p>
            <w:pPr>
              <w:jc w:val="left"/>
              <w:rPr>
                <w:sz w:val="20"/>
                <w:szCs w:val="20"/>
              </w:rPr>
            </w:pPr>
            <w:r>
              <w:rPr>
                <w:rFonts w:hint="eastAsia"/>
                <w:sz w:val="20"/>
                <w:szCs w:val="20"/>
              </w:rPr>
              <w:t>测试</w:t>
            </w:r>
            <w:r>
              <w:rPr>
                <w:sz w:val="20"/>
                <w:szCs w:val="20"/>
              </w:rPr>
              <w:t>机构授权说明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8727" w:type="dxa"/>
            <w:gridSpan w:val="13"/>
          </w:tcPr>
          <w:p>
            <w:pPr>
              <w:jc w:val="left"/>
              <w:rPr>
                <w:sz w:val="20"/>
                <w:szCs w:val="20"/>
              </w:rPr>
            </w:pPr>
            <w:r>
              <w:rPr>
                <w:rFonts w:hint="eastAsia"/>
                <w:sz w:val="20"/>
                <w:szCs w:val="20"/>
              </w:rPr>
              <w:t>测试</w:t>
            </w:r>
            <w:r>
              <w:rPr>
                <w:sz w:val="20"/>
                <w:szCs w:val="20"/>
              </w:rPr>
              <w:t>的技术依据</w:t>
            </w:r>
          </w:p>
          <w:p>
            <w:pPr>
              <w:jc w:val="left"/>
              <w:rPr>
                <w:sz w:val="20"/>
                <w:szCs w:val="20"/>
              </w:rPr>
            </w:pPr>
            <w:r>
              <w:rPr>
                <w:sz w:val="20"/>
                <w:szCs w:val="20"/>
              </w:rPr>
              <w:t xml:space="preserve">   JJF</w:t>
            </w:r>
            <w:r>
              <w:rPr>
                <w:rFonts w:eastAsiaTheme="minorEastAsia"/>
                <w:sz w:val="20"/>
              </w:rPr>
              <w:t xml:space="preserve">××××-20×× </w:t>
            </w:r>
            <w:r>
              <w:rPr>
                <w:rFonts w:hint="eastAsia" w:eastAsiaTheme="minorEastAsia"/>
                <w:sz w:val="20"/>
              </w:rPr>
              <w:t>试听室声学特性测试技术规范</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8727" w:type="dxa"/>
            <w:gridSpan w:val="13"/>
          </w:tcPr>
          <w:p>
            <w:pPr>
              <w:jc w:val="left"/>
            </w:pPr>
            <w:r>
              <w:rPr>
                <w:rFonts w:hint="eastAsia"/>
                <w:sz w:val="20"/>
                <w:szCs w:val="20"/>
              </w:rPr>
              <w:t>测试</w:t>
            </w:r>
            <w:r>
              <w:rPr>
                <w:sz w:val="20"/>
                <w:szCs w:val="20"/>
              </w:rPr>
              <w:t>环境条件及地点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438" w:type="dxa"/>
          </w:tcPr>
          <w:p>
            <w:pPr>
              <w:ind w:firstLine="200" w:firstLineChars="100"/>
              <w:jc w:val="left"/>
            </w:pPr>
            <w:r>
              <w:rPr>
                <w:sz w:val="20"/>
                <w:szCs w:val="20"/>
              </w:rPr>
              <w:t>地  点</w:t>
            </w:r>
          </w:p>
        </w:tc>
        <w:tc>
          <w:tcPr>
            <w:tcW w:w="7289" w:type="dxa"/>
            <w:gridSpan w:val="12"/>
          </w:tcPr>
          <w:p>
            <w:pPr>
              <w:ind w:firstLine="48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438" w:type="dxa"/>
          </w:tcPr>
          <w:p>
            <w:pPr>
              <w:ind w:firstLine="200" w:firstLineChars="100"/>
              <w:jc w:val="left"/>
            </w:pPr>
            <w:r>
              <w:rPr>
                <w:sz w:val="20"/>
                <w:szCs w:val="20"/>
              </w:rPr>
              <w:t>温  度</w:t>
            </w:r>
          </w:p>
        </w:tc>
        <w:tc>
          <w:tcPr>
            <w:tcW w:w="1474" w:type="dxa"/>
            <w:gridSpan w:val="3"/>
          </w:tcPr>
          <w:p>
            <w:pPr>
              <w:ind w:firstLine="800" w:firstLineChars="400"/>
              <w:jc w:val="left"/>
            </w:pPr>
            <w:r>
              <w:rPr>
                <w:sz w:val="20"/>
              </w:rPr>
              <w:t>℃</w:t>
            </w:r>
          </w:p>
        </w:tc>
        <w:tc>
          <w:tcPr>
            <w:tcW w:w="1814" w:type="dxa"/>
            <w:gridSpan w:val="2"/>
          </w:tcPr>
          <w:p>
            <w:pPr>
              <w:ind w:firstLine="200" w:firstLineChars="100"/>
              <w:jc w:val="left"/>
            </w:pPr>
            <w:r>
              <w:rPr>
                <w:sz w:val="20"/>
                <w:szCs w:val="20"/>
              </w:rPr>
              <w:t>相对湿度</w:t>
            </w:r>
          </w:p>
        </w:tc>
        <w:tc>
          <w:tcPr>
            <w:tcW w:w="1562" w:type="dxa"/>
            <w:gridSpan w:val="3"/>
          </w:tcPr>
          <w:p>
            <w:pPr>
              <w:ind w:firstLine="420"/>
              <w:jc w:val="left"/>
            </w:pPr>
            <w:r>
              <w:t>%</w:t>
            </w:r>
          </w:p>
        </w:tc>
        <w:tc>
          <w:tcPr>
            <w:tcW w:w="1232" w:type="dxa"/>
            <w:gridSpan w:val="3"/>
          </w:tcPr>
          <w:p>
            <w:pPr>
              <w:jc w:val="left"/>
            </w:pPr>
            <w:r>
              <w:rPr>
                <w:sz w:val="20"/>
                <w:szCs w:val="20"/>
              </w:rPr>
              <w:t>其  他</w:t>
            </w:r>
          </w:p>
        </w:tc>
        <w:tc>
          <w:tcPr>
            <w:tcW w:w="1207" w:type="dxa"/>
          </w:tcPr>
          <w:p>
            <w:pPr>
              <w:ind w:firstLine="48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727" w:type="dxa"/>
            <w:gridSpan w:val="13"/>
          </w:tcPr>
          <w:p>
            <w:pPr>
              <w:jc w:val="left"/>
              <w:rPr>
                <w:sz w:val="20"/>
                <w:szCs w:val="20"/>
              </w:rPr>
            </w:pPr>
            <w:r>
              <w:rPr>
                <w:rFonts w:hint="eastAsia"/>
                <w:sz w:val="20"/>
                <w:szCs w:val="20"/>
              </w:rPr>
              <w:t>测试</w:t>
            </w:r>
            <w:r>
              <w:rPr>
                <w:sz w:val="20"/>
                <w:szCs w:val="20"/>
              </w:rPr>
              <w:t>使用的计量（基）标准装置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2012" w:type="dxa"/>
            <w:gridSpan w:val="3"/>
            <w:vAlign w:val="center"/>
          </w:tcPr>
          <w:p>
            <w:pPr>
              <w:ind w:firstLine="200" w:firstLineChars="100"/>
              <w:jc w:val="left"/>
              <w:rPr>
                <w:sz w:val="20"/>
                <w:szCs w:val="20"/>
              </w:rPr>
            </w:pPr>
            <w:r>
              <w:rPr>
                <w:sz w:val="20"/>
                <w:szCs w:val="20"/>
              </w:rPr>
              <w:t>名    称</w:t>
            </w:r>
          </w:p>
        </w:tc>
        <w:tc>
          <w:tcPr>
            <w:tcW w:w="1796" w:type="dxa"/>
            <w:gridSpan w:val="2"/>
            <w:vAlign w:val="center"/>
          </w:tcPr>
          <w:p>
            <w:pPr>
              <w:ind w:firstLine="200" w:firstLineChars="100"/>
              <w:jc w:val="left"/>
              <w:rPr>
                <w:sz w:val="20"/>
                <w:szCs w:val="20"/>
              </w:rPr>
            </w:pPr>
            <w:r>
              <w:rPr>
                <w:sz w:val="20"/>
                <w:szCs w:val="20"/>
              </w:rPr>
              <w:t>测量范围</w:t>
            </w:r>
          </w:p>
        </w:tc>
        <w:tc>
          <w:tcPr>
            <w:tcW w:w="1742" w:type="dxa"/>
            <w:gridSpan w:val="3"/>
            <w:vAlign w:val="center"/>
          </w:tcPr>
          <w:p>
            <w:pPr>
              <w:jc w:val="center"/>
              <w:rPr>
                <w:sz w:val="20"/>
                <w:szCs w:val="20"/>
              </w:rPr>
            </w:pPr>
            <w:r>
              <w:rPr>
                <w:sz w:val="20"/>
                <w:szCs w:val="20"/>
              </w:rPr>
              <w:t>不确定度</w:t>
            </w:r>
          </w:p>
          <w:p>
            <w:pPr>
              <w:jc w:val="center"/>
              <w:rPr>
                <w:sz w:val="20"/>
                <w:szCs w:val="20"/>
              </w:rPr>
            </w:pPr>
            <w:r>
              <w:rPr>
                <w:sz w:val="20"/>
                <w:szCs w:val="20"/>
              </w:rPr>
              <w:t>/准确度等级</w:t>
            </w:r>
          </w:p>
          <w:p>
            <w:pPr>
              <w:jc w:val="center"/>
              <w:rPr>
                <w:sz w:val="20"/>
                <w:szCs w:val="20"/>
              </w:rPr>
            </w:pPr>
            <w:r>
              <w:rPr>
                <w:sz w:val="20"/>
                <w:szCs w:val="20"/>
              </w:rPr>
              <w:t>/最大允许误差</w:t>
            </w:r>
          </w:p>
        </w:tc>
        <w:tc>
          <w:tcPr>
            <w:tcW w:w="1634" w:type="dxa"/>
            <w:gridSpan w:val="3"/>
            <w:vAlign w:val="center"/>
          </w:tcPr>
          <w:p>
            <w:pPr>
              <w:jc w:val="center"/>
            </w:pPr>
            <w:r>
              <w:rPr>
                <w:sz w:val="20"/>
                <w:szCs w:val="20"/>
              </w:rPr>
              <w:t>计量（基）标准证书编号</w:t>
            </w:r>
          </w:p>
        </w:tc>
        <w:tc>
          <w:tcPr>
            <w:tcW w:w="1542" w:type="dxa"/>
            <w:gridSpan w:val="2"/>
            <w:vAlign w:val="center"/>
          </w:tcPr>
          <w:p>
            <w:pPr>
              <w:jc w:val="center"/>
            </w:pPr>
            <w:r>
              <w:rPr>
                <w:sz w:val="20"/>
                <w:szCs w:val="20"/>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2012" w:type="dxa"/>
            <w:gridSpan w:val="3"/>
          </w:tcPr>
          <w:p>
            <w:pPr>
              <w:ind w:firstLine="480"/>
              <w:jc w:val="left"/>
            </w:pPr>
          </w:p>
        </w:tc>
        <w:tc>
          <w:tcPr>
            <w:tcW w:w="1796" w:type="dxa"/>
            <w:gridSpan w:val="2"/>
          </w:tcPr>
          <w:p>
            <w:pPr>
              <w:ind w:firstLine="480"/>
              <w:jc w:val="left"/>
            </w:pPr>
          </w:p>
        </w:tc>
        <w:tc>
          <w:tcPr>
            <w:tcW w:w="1742" w:type="dxa"/>
            <w:gridSpan w:val="3"/>
          </w:tcPr>
          <w:p>
            <w:pPr>
              <w:ind w:firstLine="480"/>
              <w:jc w:val="left"/>
            </w:pPr>
          </w:p>
        </w:tc>
        <w:tc>
          <w:tcPr>
            <w:tcW w:w="1634" w:type="dxa"/>
            <w:gridSpan w:val="3"/>
          </w:tcPr>
          <w:p>
            <w:pPr>
              <w:ind w:firstLine="480"/>
              <w:jc w:val="left"/>
            </w:pPr>
          </w:p>
        </w:tc>
        <w:tc>
          <w:tcPr>
            <w:tcW w:w="1542" w:type="dxa"/>
            <w:gridSpan w:val="2"/>
          </w:tcPr>
          <w:p>
            <w:pPr>
              <w:ind w:firstLine="48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727" w:type="dxa"/>
            <w:gridSpan w:val="13"/>
          </w:tcPr>
          <w:p>
            <w:pPr>
              <w:jc w:val="left"/>
              <w:rPr>
                <w:sz w:val="20"/>
                <w:szCs w:val="20"/>
              </w:rPr>
            </w:pPr>
            <w:r>
              <w:rPr>
                <w:rFonts w:hint="eastAsia"/>
                <w:sz w:val="20"/>
                <w:szCs w:val="20"/>
              </w:rPr>
              <w:t>测试</w:t>
            </w:r>
            <w:r>
              <w:rPr>
                <w:sz w:val="20"/>
                <w:szCs w:val="20"/>
              </w:rPr>
              <w:t>使用的标准器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994" w:type="dxa"/>
            <w:gridSpan w:val="2"/>
            <w:vAlign w:val="center"/>
          </w:tcPr>
          <w:p>
            <w:pPr>
              <w:ind w:firstLine="200" w:firstLineChars="100"/>
              <w:jc w:val="left"/>
              <w:rPr>
                <w:sz w:val="20"/>
                <w:szCs w:val="20"/>
              </w:rPr>
            </w:pPr>
            <w:r>
              <w:rPr>
                <w:sz w:val="20"/>
                <w:szCs w:val="20"/>
              </w:rPr>
              <w:t>名    称</w:t>
            </w:r>
          </w:p>
        </w:tc>
        <w:tc>
          <w:tcPr>
            <w:tcW w:w="1814" w:type="dxa"/>
            <w:gridSpan w:val="3"/>
            <w:vAlign w:val="center"/>
          </w:tcPr>
          <w:p>
            <w:pPr>
              <w:ind w:firstLine="200" w:firstLineChars="100"/>
              <w:jc w:val="left"/>
              <w:rPr>
                <w:sz w:val="20"/>
                <w:szCs w:val="20"/>
              </w:rPr>
            </w:pPr>
            <w:r>
              <w:rPr>
                <w:sz w:val="20"/>
                <w:szCs w:val="20"/>
              </w:rPr>
              <w:t>测量范围</w:t>
            </w:r>
          </w:p>
        </w:tc>
        <w:tc>
          <w:tcPr>
            <w:tcW w:w="1706" w:type="dxa"/>
            <w:gridSpan w:val="2"/>
            <w:vAlign w:val="center"/>
          </w:tcPr>
          <w:p>
            <w:pPr>
              <w:jc w:val="center"/>
              <w:rPr>
                <w:sz w:val="20"/>
                <w:szCs w:val="20"/>
              </w:rPr>
            </w:pPr>
            <w:r>
              <w:rPr>
                <w:sz w:val="20"/>
                <w:szCs w:val="20"/>
              </w:rPr>
              <w:t>不确定度</w:t>
            </w:r>
          </w:p>
          <w:p>
            <w:pPr>
              <w:jc w:val="center"/>
              <w:rPr>
                <w:sz w:val="20"/>
                <w:szCs w:val="20"/>
              </w:rPr>
            </w:pPr>
            <w:r>
              <w:rPr>
                <w:sz w:val="20"/>
                <w:szCs w:val="20"/>
              </w:rPr>
              <w:t>/准确度等级</w:t>
            </w:r>
          </w:p>
          <w:p>
            <w:pPr>
              <w:jc w:val="center"/>
              <w:rPr>
                <w:sz w:val="20"/>
                <w:szCs w:val="20"/>
              </w:rPr>
            </w:pPr>
            <w:r>
              <w:rPr>
                <w:sz w:val="20"/>
                <w:szCs w:val="20"/>
              </w:rPr>
              <w:t>/最大允许误差</w:t>
            </w:r>
          </w:p>
        </w:tc>
        <w:tc>
          <w:tcPr>
            <w:tcW w:w="1634" w:type="dxa"/>
            <w:gridSpan w:val="3"/>
            <w:vAlign w:val="center"/>
          </w:tcPr>
          <w:p>
            <w:pPr>
              <w:jc w:val="center"/>
            </w:pPr>
            <w:r>
              <w:rPr>
                <w:sz w:val="20"/>
                <w:szCs w:val="20"/>
              </w:rPr>
              <w:t>计量（基）标准证书编号</w:t>
            </w:r>
          </w:p>
        </w:tc>
        <w:tc>
          <w:tcPr>
            <w:tcW w:w="1578" w:type="dxa"/>
            <w:gridSpan w:val="3"/>
            <w:vAlign w:val="center"/>
          </w:tcPr>
          <w:p>
            <w:pPr>
              <w:jc w:val="center"/>
            </w:pPr>
            <w:r>
              <w:rPr>
                <w:sz w:val="20"/>
                <w:szCs w:val="20"/>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994" w:type="dxa"/>
            <w:gridSpan w:val="2"/>
          </w:tcPr>
          <w:p>
            <w:pPr>
              <w:ind w:firstLine="480"/>
              <w:jc w:val="left"/>
            </w:pPr>
          </w:p>
        </w:tc>
        <w:tc>
          <w:tcPr>
            <w:tcW w:w="1814" w:type="dxa"/>
            <w:gridSpan w:val="3"/>
          </w:tcPr>
          <w:p>
            <w:pPr>
              <w:ind w:firstLine="480"/>
              <w:jc w:val="left"/>
            </w:pPr>
          </w:p>
        </w:tc>
        <w:tc>
          <w:tcPr>
            <w:tcW w:w="1706" w:type="dxa"/>
            <w:gridSpan w:val="2"/>
          </w:tcPr>
          <w:p>
            <w:pPr>
              <w:ind w:firstLine="480"/>
              <w:jc w:val="left"/>
            </w:pPr>
          </w:p>
        </w:tc>
        <w:tc>
          <w:tcPr>
            <w:tcW w:w="1634" w:type="dxa"/>
            <w:gridSpan w:val="3"/>
          </w:tcPr>
          <w:p>
            <w:pPr>
              <w:ind w:firstLine="480"/>
              <w:jc w:val="left"/>
            </w:pPr>
          </w:p>
        </w:tc>
        <w:tc>
          <w:tcPr>
            <w:tcW w:w="1578" w:type="dxa"/>
            <w:gridSpan w:val="3"/>
          </w:tcPr>
          <w:p>
            <w:pPr>
              <w:ind w:firstLine="480"/>
              <w:jc w:val="left"/>
            </w:pPr>
          </w:p>
        </w:tc>
      </w:tr>
    </w:tbl>
    <w:p>
      <w:pPr>
        <w:widowControl/>
        <w:jc w:val="left"/>
        <w:rPr>
          <w:rFonts w:eastAsia="黑体"/>
        </w:rPr>
      </w:pPr>
    </w:p>
    <w:p>
      <w:pPr>
        <w:ind w:firstLine="420"/>
        <w:jc w:val="center"/>
        <w:rPr>
          <w:sz w:val="18"/>
        </w:rPr>
      </w:pPr>
      <w:r>
        <w:rPr>
          <w:rFonts w:eastAsiaTheme="minorEastAsia"/>
        </w:rPr>
        <w:t>共×页  第×页</w:t>
      </w:r>
    </w:p>
    <w:p>
      <w:pPr>
        <w:adjustRightInd w:val="0"/>
        <w:snapToGrid w:val="0"/>
        <w:spacing w:line="360" w:lineRule="auto"/>
        <w:ind w:firstLine="480" w:firstLineChars="200"/>
        <w:jc w:val="center"/>
        <w:rPr>
          <w:sz w:val="24"/>
        </w:rPr>
      </w:pPr>
      <w:r>
        <w:rPr>
          <w:rFonts w:hint="eastAsia"/>
          <w:sz w:val="24"/>
        </w:rPr>
        <w:t>续表A.1 试听室测试证书的内页格式</w:t>
      </w:r>
    </w:p>
    <w:p>
      <w:r>
        <w:pict>
          <v:rect id="_x0000_s2144" o:spid="_x0000_s2144" o:spt="1" style="position:absolute;left:0pt;margin-top:10.25pt;height:646.35pt;width:450.05pt;mso-position-horizontal:left;mso-position-horizontal-relative:margin;z-index:251665408;v-text-anchor:middle;mso-width-relative:page;mso-height-relative:page;" filled="f" coordsize="21600,21600" o:gfxdata="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KLmGA1gAAAAgBAAAPAAAAAAAAAAEAIAAAACIAAABkcnMvZG93bnJl&#10;di54bWxQSwECFAAUAAAACACHTuJAmwUg+3ECAADdBAAADgAAAAAAAAABACAAAAAlAQAAZHJzL2Uy&#10;b0RvYy54bWxQSwUGAAAAAAYABgBZAQAACAYAAAAA&#10;">
            <v:path/>
            <v:fill on="f" focussize="0,0"/>
            <v:stroke weight="1pt"/>
            <v:imagedata o:title=""/>
            <o:lock v:ext="edit"/>
          </v:rect>
        </w:pict>
      </w:r>
    </w:p>
    <w:p>
      <w:pPr>
        <w:ind w:firstLine="400"/>
        <w:jc w:val="center"/>
      </w:pPr>
      <w:r>
        <w:rPr>
          <w:rFonts w:eastAsiaTheme="minorEastAsia"/>
          <w:bCs/>
          <w:sz w:val="20"/>
        </w:rPr>
        <w:t>证书编号</w:t>
      </w:r>
      <w:r>
        <w:rPr>
          <w:rFonts w:eastAsiaTheme="minorEastAsia"/>
          <w:sz w:val="20"/>
        </w:rPr>
        <w:t>×××××××-××××</w:t>
      </w:r>
    </w:p>
    <w:p>
      <w:pPr>
        <w:widowControl/>
        <w:jc w:val="left"/>
        <w:rPr>
          <w:rFonts w:asciiTheme="minorEastAsia" w:hAnsiTheme="minorEastAsia" w:eastAsiaTheme="minorEastAsia"/>
        </w:rPr>
      </w:pPr>
      <w:r>
        <w:rPr>
          <w:rFonts w:hint="eastAsia" w:asciiTheme="minorEastAsia" w:hAnsiTheme="minorEastAsia" w:eastAsiaTheme="minorEastAsia"/>
        </w:rPr>
        <w:t>1、试听室的描述</w:t>
      </w:r>
    </w:p>
    <w:p>
      <w:pPr>
        <w:ind w:firstLine="420" w:firstLineChars="200"/>
        <w:jc w:val="left"/>
        <w:rPr>
          <w:rFonts w:eastAsiaTheme="minorEastAsia"/>
        </w:rPr>
      </w:pPr>
      <w:r>
        <w:rPr>
          <w:rFonts w:hint="eastAsia" w:eastAsiaTheme="minorEastAsia"/>
        </w:rPr>
        <w:t>试听室的尺寸规格、容积、试听室与观察室之间的墙体尺寸、面积等。</w:t>
      </w:r>
    </w:p>
    <w:p>
      <w:pPr>
        <w:ind w:firstLine="420" w:firstLineChars="200"/>
        <w:jc w:val="left"/>
        <w:rPr>
          <w:rFonts w:eastAsiaTheme="minorEastAsia"/>
        </w:rPr>
      </w:pPr>
    </w:p>
    <w:p>
      <w:pPr>
        <w:jc w:val="left"/>
        <w:rPr>
          <w:rFonts w:eastAsiaTheme="minorEastAsia"/>
        </w:rPr>
      </w:pPr>
      <w:r>
        <w:rPr>
          <w:rFonts w:hint="eastAsia" w:eastAsiaTheme="minorEastAsia"/>
        </w:rPr>
        <w:t>2、混响时间</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37"/>
        <w:gridCol w:w="737"/>
        <w:gridCol w:w="737"/>
        <w:gridCol w:w="737"/>
        <w:gridCol w:w="737"/>
        <w:gridCol w:w="737"/>
        <w:gridCol w:w="737"/>
        <w:gridCol w:w="737"/>
        <w:gridCol w:w="737"/>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w:t>
            </w:r>
          </w:p>
        </w:tc>
        <w:tc>
          <w:tcPr>
            <w:tcW w:w="737" w:type="dxa"/>
            <w:vAlign w:val="center"/>
          </w:tcPr>
          <w:p>
            <w:pPr>
              <w:jc w:val="center"/>
              <w:rPr>
                <w:rFonts w:eastAsiaTheme="minorEastAsia"/>
              </w:rPr>
            </w:pPr>
            <w:r>
              <w:rPr>
                <w:rFonts w:hint="eastAsia" w:eastAsiaTheme="minorEastAsia"/>
              </w:rPr>
              <w:t>125</w:t>
            </w:r>
          </w:p>
        </w:tc>
        <w:tc>
          <w:tcPr>
            <w:tcW w:w="737" w:type="dxa"/>
            <w:vAlign w:val="center"/>
          </w:tcPr>
          <w:p>
            <w:pPr>
              <w:jc w:val="center"/>
              <w:rPr>
                <w:rFonts w:eastAsiaTheme="minorEastAsia"/>
              </w:rPr>
            </w:pPr>
            <w:r>
              <w:rPr>
                <w:rFonts w:hint="eastAsia" w:eastAsiaTheme="minorEastAsia"/>
              </w:rPr>
              <w:t>160</w:t>
            </w:r>
          </w:p>
        </w:tc>
        <w:tc>
          <w:tcPr>
            <w:tcW w:w="737" w:type="dxa"/>
            <w:vAlign w:val="center"/>
          </w:tcPr>
          <w:p>
            <w:pPr>
              <w:jc w:val="center"/>
              <w:rPr>
                <w:rFonts w:eastAsiaTheme="minorEastAsia"/>
              </w:rPr>
            </w:pPr>
            <w:r>
              <w:rPr>
                <w:rFonts w:hint="eastAsia" w:eastAsiaTheme="minorEastAsia"/>
              </w:rPr>
              <w:t>200</w:t>
            </w:r>
          </w:p>
        </w:tc>
        <w:tc>
          <w:tcPr>
            <w:tcW w:w="737" w:type="dxa"/>
            <w:vAlign w:val="center"/>
          </w:tcPr>
          <w:p>
            <w:pPr>
              <w:jc w:val="center"/>
              <w:rPr>
                <w:rFonts w:eastAsiaTheme="minorEastAsia"/>
              </w:rPr>
            </w:pPr>
            <w:r>
              <w:rPr>
                <w:rFonts w:hint="eastAsia" w:eastAsiaTheme="minorEastAsia"/>
              </w:rPr>
              <w:t>250</w:t>
            </w:r>
          </w:p>
        </w:tc>
        <w:tc>
          <w:tcPr>
            <w:tcW w:w="737" w:type="dxa"/>
            <w:vAlign w:val="center"/>
          </w:tcPr>
          <w:p>
            <w:pPr>
              <w:jc w:val="center"/>
              <w:rPr>
                <w:rFonts w:eastAsiaTheme="minorEastAsia"/>
              </w:rPr>
            </w:pPr>
            <w:r>
              <w:rPr>
                <w:rFonts w:hint="eastAsia" w:eastAsiaTheme="minorEastAsia"/>
              </w:rPr>
              <w:t>315</w:t>
            </w:r>
          </w:p>
        </w:tc>
        <w:tc>
          <w:tcPr>
            <w:tcW w:w="737" w:type="dxa"/>
            <w:vAlign w:val="center"/>
          </w:tcPr>
          <w:p>
            <w:pPr>
              <w:jc w:val="center"/>
              <w:rPr>
                <w:rFonts w:eastAsiaTheme="minorEastAsia"/>
              </w:rPr>
            </w:pPr>
            <w:r>
              <w:rPr>
                <w:rFonts w:hint="eastAsia" w:eastAsiaTheme="minorEastAsia"/>
              </w:rPr>
              <w:t>400</w:t>
            </w:r>
          </w:p>
        </w:tc>
        <w:tc>
          <w:tcPr>
            <w:tcW w:w="737" w:type="dxa"/>
            <w:vAlign w:val="center"/>
          </w:tcPr>
          <w:p>
            <w:pPr>
              <w:jc w:val="center"/>
              <w:rPr>
                <w:rFonts w:eastAsiaTheme="minorEastAsia"/>
              </w:rPr>
            </w:pPr>
            <w:r>
              <w:rPr>
                <w:rFonts w:hint="eastAsia" w:eastAsiaTheme="minorEastAsia"/>
              </w:rPr>
              <w:t>500</w:t>
            </w:r>
          </w:p>
        </w:tc>
        <w:tc>
          <w:tcPr>
            <w:tcW w:w="737" w:type="dxa"/>
            <w:vAlign w:val="center"/>
          </w:tcPr>
          <w:p>
            <w:pPr>
              <w:jc w:val="center"/>
              <w:rPr>
                <w:rFonts w:eastAsiaTheme="minorEastAsia"/>
              </w:rPr>
            </w:pPr>
            <w:r>
              <w:rPr>
                <w:rFonts w:hint="eastAsia" w:eastAsiaTheme="minorEastAsia"/>
              </w:rPr>
              <w:t>630</w:t>
            </w:r>
          </w:p>
        </w:tc>
        <w:tc>
          <w:tcPr>
            <w:tcW w:w="738" w:type="dxa"/>
            <w:vAlign w:val="center"/>
          </w:tcPr>
          <w:p>
            <w:pPr>
              <w:jc w:val="center"/>
              <w:rPr>
                <w:rFonts w:eastAsiaTheme="minorEastAsia"/>
              </w:rPr>
            </w:pPr>
            <w:r>
              <w:rPr>
                <w:rFonts w:hint="eastAsia" w:eastAsiaTheme="minorEastAsia"/>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混响时间/s</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1000</w:t>
            </w:r>
          </w:p>
        </w:tc>
        <w:tc>
          <w:tcPr>
            <w:tcW w:w="737" w:type="dxa"/>
            <w:vAlign w:val="center"/>
          </w:tcPr>
          <w:p>
            <w:pPr>
              <w:jc w:val="center"/>
              <w:rPr>
                <w:rFonts w:eastAsiaTheme="minorEastAsia"/>
              </w:rPr>
            </w:pPr>
            <w:r>
              <w:rPr>
                <w:rFonts w:hint="eastAsia" w:eastAsiaTheme="minorEastAsia"/>
              </w:rPr>
              <w:t>1250</w:t>
            </w:r>
          </w:p>
        </w:tc>
        <w:tc>
          <w:tcPr>
            <w:tcW w:w="737" w:type="dxa"/>
            <w:vAlign w:val="center"/>
          </w:tcPr>
          <w:p>
            <w:pPr>
              <w:jc w:val="center"/>
              <w:rPr>
                <w:rFonts w:eastAsiaTheme="minorEastAsia"/>
              </w:rPr>
            </w:pPr>
            <w:r>
              <w:rPr>
                <w:rFonts w:hint="eastAsia" w:eastAsiaTheme="minorEastAsia"/>
              </w:rPr>
              <w:t>1600</w:t>
            </w:r>
          </w:p>
        </w:tc>
        <w:tc>
          <w:tcPr>
            <w:tcW w:w="737" w:type="dxa"/>
            <w:vAlign w:val="center"/>
          </w:tcPr>
          <w:p>
            <w:pPr>
              <w:jc w:val="center"/>
              <w:rPr>
                <w:rFonts w:eastAsiaTheme="minorEastAsia"/>
              </w:rPr>
            </w:pPr>
            <w:r>
              <w:rPr>
                <w:rFonts w:hint="eastAsia" w:eastAsiaTheme="minorEastAsia"/>
              </w:rPr>
              <w:t>2000</w:t>
            </w:r>
          </w:p>
        </w:tc>
        <w:tc>
          <w:tcPr>
            <w:tcW w:w="737" w:type="dxa"/>
            <w:vAlign w:val="center"/>
          </w:tcPr>
          <w:p>
            <w:pPr>
              <w:jc w:val="center"/>
              <w:rPr>
                <w:rFonts w:eastAsiaTheme="minorEastAsia"/>
              </w:rPr>
            </w:pPr>
            <w:r>
              <w:rPr>
                <w:rFonts w:hint="eastAsia" w:eastAsiaTheme="minorEastAsia"/>
              </w:rPr>
              <w:t>2500</w:t>
            </w:r>
          </w:p>
        </w:tc>
        <w:tc>
          <w:tcPr>
            <w:tcW w:w="737" w:type="dxa"/>
            <w:vAlign w:val="center"/>
          </w:tcPr>
          <w:p>
            <w:pPr>
              <w:jc w:val="center"/>
              <w:rPr>
                <w:rFonts w:eastAsiaTheme="minorEastAsia"/>
              </w:rPr>
            </w:pPr>
            <w:r>
              <w:rPr>
                <w:rFonts w:hint="eastAsia" w:eastAsiaTheme="minorEastAsia"/>
              </w:rPr>
              <w:t>3150</w:t>
            </w:r>
          </w:p>
        </w:tc>
        <w:tc>
          <w:tcPr>
            <w:tcW w:w="737" w:type="dxa"/>
            <w:vAlign w:val="center"/>
          </w:tcPr>
          <w:p>
            <w:pPr>
              <w:jc w:val="center"/>
              <w:rPr>
                <w:rFonts w:eastAsiaTheme="minorEastAsia"/>
              </w:rPr>
            </w:pPr>
            <w:r>
              <w:rPr>
                <w:rFonts w:hint="eastAsia" w:eastAsiaTheme="minorEastAsia"/>
              </w:rPr>
              <w:t>4000</w:t>
            </w:r>
          </w:p>
        </w:tc>
        <w:tc>
          <w:tcPr>
            <w:tcW w:w="737" w:type="dxa"/>
            <w:vAlign w:val="center"/>
          </w:tcPr>
          <w:p>
            <w:pPr>
              <w:jc w:val="center"/>
              <w:rPr>
                <w:rFonts w:eastAsiaTheme="minorEastAsia"/>
              </w:rPr>
            </w:pPr>
            <w:r>
              <w:rPr>
                <w:rFonts w:hint="eastAsia" w:eastAsiaTheme="minorEastAsia"/>
              </w:rPr>
              <w:t>5000</w:t>
            </w:r>
          </w:p>
        </w:tc>
        <w:tc>
          <w:tcPr>
            <w:tcW w:w="737" w:type="dxa"/>
            <w:vAlign w:val="center"/>
          </w:tcPr>
          <w:p>
            <w:pPr>
              <w:jc w:val="center"/>
              <w:rPr>
                <w:rFonts w:eastAsiaTheme="minorEastAsia"/>
              </w:rPr>
            </w:pPr>
            <w:r>
              <w:rPr>
                <w:rFonts w:hint="eastAsia" w:eastAsiaTheme="minorEastAsia"/>
              </w:rPr>
              <w:t>6300</w:t>
            </w:r>
          </w:p>
        </w:tc>
        <w:tc>
          <w:tcPr>
            <w:tcW w:w="738" w:type="dxa"/>
            <w:vAlign w:val="center"/>
          </w:tcPr>
          <w:p>
            <w:pPr>
              <w:jc w:val="center"/>
              <w:rPr>
                <w:rFonts w:eastAsiaTheme="minorEastAsia"/>
              </w:rPr>
            </w:pPr>
            <w:r>
              <w:rPr>
                <w:rFonts w:hint="eastAsia" w:eastAsiaTheme="minorEastAsia"/>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混响时间/s</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bl>
    <w:p>
      <w:pPr>
        <w:jc w:val="left"/>
        <w:rPr>
          <w:rFonts w:eastAsiaTheme="minorEastAsia"/>
        </w:rPr>
      </w:pPr>
    </w:p>
    <w:p>
      <w:pPr>
        <w:jc w:val="left"/>
        <w:rPr>
          <w:rFonts w:eastAsiaTheme="minorEastAsia"/>
        </w:rPr>
      </w:pPr>
      <w:r>
        <w:rPr>
          <w:rFonts w:hint="eastAsia" w:eastAsiaTheme="minorEastAsia"/>
        </w:rPr>
        <w:t>3、声压级均匀性</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37"/>
        <w:gridCol w:w="737"/>
        <w:gridCol w:w="737"/>
        <w:gridCol w:w="737"/>
        <w:gridCol w:w="737"/>
        <w:gridCol w:w="737"/>
        <w:gridCol w:w="737"/>
        <w:gridCol w:w="737"/>
        <w:gridCol w:w="737"/>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w:t>
            </w:r>
          </w:p>
        </w:tc>
        <w:tc>
          <w:tcPr>
            <w:tcW w:w="737" w:type="dxa"/>
            <w:vAlign w:val="center"/>
          </w:tcPr>
          <w:p>
            <w:pPr>
              <w:jc w:val="center"/>
              <w:rPr>
                <w:rFonts w:eastAsiaTheme="minorEastAsia"/>
              </w:rPr>
            </w:pPr>
            <w:r>
              <w:rPr>
                <w:rFonts w:hint="eastAsia" w:eastAsiaTheme="minorEastAsia"/>
              </w:rPr>
              <w:t>125</w:t>
            </w:r>
          </w:p>
        </w:tc>
        <w:tc>
          <w:tcPr>
            <w:tcW w:w="737" w:type="dxa"/>
            <w:vAlign w:val="center"/>
          </w:tcPr>
          <w:p>
            <w:pPr>
              <w:jc w:val="center"/>
              <w:rPr>
                <w:rFonts w:eastAsiaTheme="minorEastAsia"/>
              </w:rPr>
            </w:pPr>
            <w:r>
              <w:rPr>
                <w:rFonts w:hint="eastAsia" w:eastAsiaTheme="minorEastAsia"/>
              </w:rPr>
              <w:t>160</w:t>
            </w:r>
          </w:p>
        </w:tc>
        <w:tc>
          <w:tcPr>
            <w:tcW w:w="737" w:type="dxa"/>
            <w:vAlign w:val="center"/>
          </w:tcPr>
          <w:p>
            <w:pPr>
              <w:jc w:val="center"/>
              <w:rPr>
                <w:rFonts w:eastAsiaTheme="minorEastAsia"/>
              </w:rPr>
            </w:pPr>
            <w:r>
              <w:rPr>
                <w:rFonts w:hint="eastAsia" w:eastAsiaTheme="minorEastAsia"/>
              </w:rPr>
              <w:t>200</w:t>
            </w:r>
          </w:p>
        </w:tc>
        <w:tc>
          <w:tcPr>
            <w:tcW w:w="737" w:type="dxa"/>
            <w:vAlign w:val="center"/>
          </w:tcPr>
          <w:p>
            <w:pPr>
              <w:jc w:val="center"/>
              <w:rPr>
                <w:rFonts w:eastAsiaTheme="minorEastAsia"/>
              </w:rPr>
            </w:pPr>
            <w:r>
              <w:rPr>
                <w:rFonts w:hint="eastAsia" w:eastAsiaTheme="minorEastAsia"/>
              </w:rPr>
              <w:t>250</w:t>
            </w:r>
          </w:p>
        </w:tc>
        <w:tc>
          <w:tcPr>
            <w:tcW w:w="737" w:type="dxa"/>
            <w:vAlign w:val="center"/>
          </w:tcPr>
          <w:p>
            <w:pPr>
              <w:jc w:val="center"/>
              <w:rPr>
                <w:rFonts w:eastAsiaTheme="minorEastAsia"/>
              </w:rPr>
            </w:pPr>
            <w:r>
              <w:rPr>
                <w:rFonts w:hint="eastAsia" w:eastAsiaTheme="minorEastAsia"/>
              </w:rPr>
              <w:t>315</w:t>
            </w:r>
          </w:p>
        </w:tc>
        <w:tc>
          <w:tcPr>
            <w:tcW w:w="737" w:type="dxa"/>
            <w:vAlign w:val="center"/>
          </w:tcPr>
          <w:p>
            <w:pPr>
              <w:jc w:val="center"/>
              <w:rPr>
                <w:rFonts w:eastAsiaTheme="minorEastAsia"/>
              </w:rPr>
            </w:pPr>
            <w:r>
              <w:rPr>
                <w:rFonts w:hint="eastAsia" w:eastAsiaTheme="minorEastAsia"/>
              </w:rPr>
              <w:t>400</w:t>
            </w:r>
          </w:p>
        </w:tc>
        <w:tc>
          <w:tcPr>
            <w:tcW w:w="737" w:type="dxa"/>
            <w:vAlign w:val="center"/>
          </w:tcPr>
          <w:p>
            <w:pPr>
              <w:jc w:val="center"/>
              <w:rPr>
                <w:rFonts w:eastAsiaTheme="minorEastAsia"/>
              </w:rPr>
            </w:pPr>
            <w:r>
              <w:rPr>
                <w:rFonts w:hint="eastAsia" w:eastAsiaTheme="minorEastAsia"/>
              </w:rPr>
              <w:t>500</w:t>
            </w:r>
          </w:p>
        </w:tc>
        <w:tc>
          <w:tcPr>
            <w:tcW w:w="737" w:type="dxa"/>
            <w:vAlign w:val="center"/>
          </w:tcPr>
          <w:p>
            <w:pPr>
              <w:jc w:val="center"/>
              <w:rPr>
                <w:rFonts w:eastAsiaTheme="minorEastAsia"/>
              </w:rPr>
            </w:pPr>
            <w:r>
              <w:rPr>
                <w:rFonts w:hint="eastAsia" w:eastAsiaTheme="minorEastAsia"/>
              </w:rPr>
              <w:t>630</w:t>
            </w:r>
          </w:p>
        </w:tc>
        <w:tc>
          <w:tcPr>
            <w:tcW w:w="738" w:type="dxa"/>
            <w:vAlign w:val="center"/>
          </w:tcPr>
          <w:p>
            <w:pPr>
              <w:jc w:val="center"/>
              <w:rPr>
                <w:rFonts w:eastAsiaTheme="minorEastAsia"/>
              </w:rPr>
            </w:pPr>
            <w:r>
              <w:rPr>
                <w:rFonts w:hint="eastAsia" w:eastAsiaTheme="minorEastAsia"/>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声压级均匀性</w:t>
            </w:r>
            <w:r>
              <w:rPr>
                <w:rFonts w:hint="eastAsia" w:eastAsiaTheme="minorEastAsia"/>
                <w:i/>
              </w:rPr>
              <w:t>S</w:t>
            </w:r>
            <w:r>
              <w:rPr>
                <w:rFonts w:hint="eastAsia" w:eastAsiaTheme="minorEastAsia"/>
                <w:i/>
                <w:vertAlign w:val="subscript"/>
              </w:rPr>
              <w:t>M</w:t>
            </w:r>
            <w:r>
              <w:rPr>
                <w:rFonts w:hint="eastAsia" w:eastAsiaTheme="minorEastAsia"/>
              </w:rPr>
              <w:t xml:space="preserve"> /dB</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1000</w:t>
            </w:r>
          </w:p>
        </w:tc>
        <w:tc>
          <w:tcPr>
            <w:tcW w:w="737" w:type="dxa"/>
            <w:vAlign w:val="center"/>
          </w:tcPr>
          <w:p>
            <w:pPr>
              <w:jc w:val="center"/>
              <w:rPr>
                <w:rFonts w:eastAsiaTheme="minorEastAsia"/>
              </w:rPr>
            </w:pPr>
            <w:r>
              <w:rPr>
                <w:rFonts w:hint="eastAsia" w:eastAsiaTheme="minorEastAsia"/>
              </w:rPr>
              <w:t>1250</w:t>
            </w:r>
          </w:p>
        </w:tc>
        <w:tc>
          <w:tcPr>
            <w:tcW w:w="737" w:type="dxa"/>
            <w:vAlign w:val="center"/>
          </w:tcPr>
          <w:p>
            <w:pPr>
              <w:jc w:val="center"/>
              <w:rPr>
                <w:rFonts w:eastAsiaTheme="minorEastAsia"/>
              </w:rPr>
            </w:pPr>
            <w:r>
              <w:rPr>
                <w:rFonts w:hint="eastAsia" w:eastAsiaTheme="minorEastAsia"/>
              </w:rPr>
              <w:t>1600</w:t>
            </w:r>
          </w:p>
        </w:tc>
        <w:tc>
          <w:tcPr>
            <w:tcW w:w="737" w:type="dxa"/>
            <w:vAlign w:val="center"/>
          </w:tcPr>
          <w:p>
            <w:pPr>
              <w:jc w:val="center"/>
              <w:rPr>
                <w:rFonts w:eastAsiaTheme="minorEastAsia"/>
              </w:rPr>
            </w:pPr>
            <w:r>
              <w:rPr>
                <w:rFonts w:hint="eastAsia" w:eastAsiaTheme="minorEastAsia"/>
              </w:rPr>
              <w:t>2000</w:t>
            </w:r>
          </w:p>
        </w:tc>
        <w:tc>
          <w:tcPr>
            <w:tcW w:w="737" w:type="dxa"/>
            <w:vAlign w:val="center"/>
          </w:tcPr>
          <w:p>
            <w:pPr>
              <w:jc w:val="center"/>
              <w:rPr>
                <w:rFonts w:eastAsiaTheme="minorEastAsia"/>
              </w:rPr>
            </w:pPr>
            <w:r>
              <w:rPr>
                <w:rFonts w:hint="eastAsia" w:eastAsiaTheme="minorEastAsia"/>
              </w:rPr>
              <w:t>2500</w:t>
            </w:r>
          </w:p>
        </w:tc>
        <w:tc>
          <w:tcPr>
            <w:tcW w:w="737" w:type="dxa"/>
            <w:vAlign w:val="center"/>
          </w:tcPr>
          <w:p>
            <w:pPr>
              <w:jc w:val="center"/>
              <w:rPr>
                <w:rFonts w:eastAsiaTheme="minorEastAsia"/>
              </w:rPr>
            </w:pPr>
            <w:r>
              <w:rPr>
                <w:rFonts w:hint="eastAsia" w:eastAsiaTheme="minorEastAsia"/>
              </w:rPr>
              <w:t>3150</w:t>
            </w:r>
          </w:p>
        </w:tc>
        <w:tc>
          <w:tcPr>
            <w:tcW w:w="737" w:type="dxa"/>
            <w:vAlign w:val="center"/>
          </w:tcPr>
          <w:p>
            <w:pPr>
              <w:jc w:val="center"/>
              <w:rPr>
                <w:rFonts w:eastAsiaTheme="minorEastAsia"/>
              </w:rPr>
            </w:pPr>
            <w:r>
              <w:rPr>
                <w:rFonts w:hint="eastAsia" w:eastAsiaTheme="minorEastAsia"/>
              </w:rPr>
              <w:t>4000</w:t>
            </w:r>
          </w:p>
        </w:tc>
        <w:tc>
          <w:tcPr>
            <w:tcW w:w="737" w:type="dxa"/>
            <w:vAlign w:val="center"/>
          </w:tcPr>
          <w:p>
            <w:pPr>
              <w:jc w:val="center"/>
              <w:rPr>
                <w:rFonts w:eastAsiaTheme="minorEastAsia"/>
              </w:rPr>
            </w:pPr>
            <w:r>
              <w:rPr>
                <w:rFonts w:hint="eastAsia" w:eastAsiaTheme="minorEastAsia"/>
              </w:rPr>
              <w:t>5000</w:t>
            </w:r>
          </w:p>
        </w:tc>
        <w:tc>
          <w:tcPr>
            <w:tcW w:w="737" w:type="dxa"/>
            <w:vAlign w:val="center"/>
          </w:tcPr>
          <w:p>
            <w:pPr>
              <w:jc w:val="center"/>
              <w:rPr>
                <w:rFonts w:eastAsiaTheme="minorEastAsia"/>
              </w:rPr>
            </w:pPr>
            <w:r>
              <w:rPr>
                <w:rFonts w:hint="eastAsia" w:eastAsiaTheme="minorEastAsia"/>
              </w:rPr>
              <w:t>6300</w:t>
            </w:r>
          </w:p>
        </w:tc>
        <w:tc>
          <w:tcPr>
            <w:tcW w:w="738" w:type="dxa"/>
            <w:vAlign w:val="center"/>
          </w:tcPr>
          <w:p>
            <w:pPr>
              <w:jc w:val="center"/>
              <w:rPr>
                <w:rFonts w:eastAsiaTheme="minorEastAsia"/>
              </w:rPr>
            </w:pPr>
            <w:r>
              <w:rPr>
                <w:rFonts w:hint="eastAsia" w:eastAsiaTheme="minorEastAsia"/>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声压级均匀性</w:t>
            </w:r>
            <w:r>
              <w:rPr>
                <w:rFonts w:hint="eastAsia" w:eastAsiaTheme="minorEastAsia"/>
                <w:i/>
              </w:rPr>
              <w:t>S</w:t>
            </w:r>
            <w:r>
              <w:rPr>
                <w:rFonts w:hint="eastAsia" w:eastAsiaTheme="minorEastAsia"/>
                <w:i/>
                <w:vertAlign w:val="subscript"/>
              </w:rPr>
              <w:t>M</w:t>
            </w:r>
            <w:r>
              <w:rPr>
                <w:rFonts w:hint="eastAsia" w:eastAsiaTheme="minorEastAsia"/>
              </w:rPr>
              <w:t xml:space="preserve"> /dB</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bl>
    <w:p>
      <w:pPr>
        <w:jc w:val="left"/>
        <w:rPr>
          <w:rFonts w:eastAsiaTheme="minorEastAsia"/>
        </w:rPr>
      </w:pPr>
    </w:p>
    <w:p>
      <w:pPr>
        <w:jc w:val="left"/>
        <w:rPr>
          <w:rFonts w:eastAsiaTheme="minorEastAsia"/>
        </w:rPr>
      </w:pPr>
      <w:r>
        <w:rPr>
          <w:rFonts w:hint="eastAsia" w:eastAsiaTheme="minorEastAsia"/>
        </w:rPr>
        <w:t>4、背景噪声</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37"/>
        <w:gridCol w:w="737"/>
        <w:gridCol w:w="737"/>
        <w:gridCol w:w="737"/>
        <w:gridCol w:w="737"/>
        <w:gridCol w:w="737"/>
        <w:gridCol w:w="737"/>
        <w:gridCol w:w="737"/>
        <w:gridCol w:w="737"/>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w:t>
            </w:r>
          </w:p>
        </w:tc>
        <w:tc>
          <w:tcPr>
            <w:tcW w:w="737" w:type="dxa"/>
            <w:vAlign w:val="center"/>
          </w:tcPr>
          <w:p>
            <w:pPr>
              <w:jc w:val="center"/>
              <w:rPr>
                <w:rFonts w:eastAsiaTheme="minorEastAsia"/>
              </w:rPr>
            </w:pPr>
            <w:r>
              <w:rPr>
                <w:rFonts w:hint="eastAsia" w:eastAsiaTheme="minorEastAsia"/>
              </w:rPr>
              <w:t>125</w:t>
            </w:r>
          </w:p>
        </w:tc>
        <w:tc>
          <w:tcPr>
            <w:tcW w:w="737" w:type="dxa"/>
            <w:vAlign w:val="center"/>
          </w:tcPr>
          <w:p>
            <w:pPr>
              <w:jc w:val="center"/>
              <w:rPr>
                <w:rFonts w:eastAsiaTheme="minorEastAsia"/>
              </w:rPr>
            </w:pPr>
            <w:r>
              <w:rPr>
                <w:rFonts w:hint="eastAsia" w:eastAsiaTheme="minorEastAsia"/>
              </w:rPr>
              <w:t>160</w:t>
            </w:r>
          </w:p>
        </w:tc>
        <w:tc>
          <w:tcPr>
            <w:tcW w:w="737" w:type="dxa"/>
            <w:vAlign w:val="center"/>
          </w:tcPr>
          <w:p>
            <w:pPr>
              <w:jc w:val="center"/>
              <w:rPr>
                <w:rFonts w:eastAsiaTheme="minorEastAsia"/>
              </w:rPr>
            </w:pPr>
            <w:r>
              <w:rPr>
                <w:rFonts w:hint="eastAsia" w:eastAsiaTheme="minorEastAsia"/>
              </w:rPr>
              <w:t>200</w:t>
            </w:r>
          </w:p>
        </w:tc>
        <w:tc>
          <w:tcPr>
            <w:tcW w:w="737" w:type="dxa"/>
            <w:vAlign w:val="center"/>
          </w:tcPr>
          <w:p>
            <w:pPr>
              <w:jc w:val="center"/>
              <w:rPr>
                <w:rFonts w:eastAsiaTheme="minorEastAsia"/>
              </w:rPr>
            </w:pPr>
            <w:r>
              <w:rPr>
                <w:rFonts w:hint="eastAsia" w:eastAsiaTheme="minorEastAsia"/>
              </w:rPr>
              <w:t>250</w:t>
            </w:r>
          </w:p>
        </w:tc>
        <w:tc>
          <w:tcPr>
            <w:tcW w:w="737" w:type="dxa"/>
            <w:vAlign w:val="center"/>
          </w:tcPr>
          <w:p>
            <w:pPr>
              <w:jc w:val="center"/>
              <w:rPr>
                <w:rFonts w:eastAsiaTheme="minorEastAsia"/>
              </w:rPr>
            </w:pPr>
            <w:r>
              <w:rPr>
                <w:rFonts w:hint="eastAsia" w:eastAsiaTheme="minorEastAsia"/>
              </w:rPr>
              <w:t>315</w:t>
            </w:r>
          </w:p>
        </w:tc>
        <w:tc>
          <w:tcPr>
            <w:tcW w:w="737" w:type="dxa"/>
            <w:vAlign w:val="center"/>
          </w:tcPr>
          <w:p>
            <w:pPr>
              <w:jc w:val="center"/>
              <w:rPr>
                <w:rFonts w:eastAsiaTheme="minorEastAsia"/>
              </w:rPr>
            </w:pPr>
            <w:r>
              <w:rPr>
                <w:rFonts w:hint="eastAsia" w:eastAsiaTheme="minorEastAsia"/>
              </w:rPr>
              <w:t>400</w:t>
            </w:r>
          </w:p>
        </w:tc>
        <w:tc>
          <w:tcPr>
            <w:tcW w:w="737" w:type="dxa"/>
            <w:vAlign w:val="center"/>
          </w:tcPr>
          <w:p>
            <w:pPr>
              <w:jc w:val="center"/>
              <w:rPr>
                <w:rFonts w:eastAsiaTheme="minorEastAsia"/>
              </w:rPr>
            </w:pPr>
            <w:r>
              <w:rPr>
                <w:rFonts w:hint="eastAsia" w:eastAsiaTheme="minorEastAsia"/>
              </w:rPr>
              <w:t>500</w:t>
            </w:r>
          </w:p>
        </w:tc>
        <w:tc>
          <w:tcPr>
            <w:tcW w:w="737" w:type="dxa"/>
            <w:vAlign w:val="center"/>
          </w:tcPr>
          <w:p>
            <w:pPr>
              <w:jc w:val="center"/>
              <w:rPr>
                <w:rFonts w:eastAsiaTheme="minorEastAsia"/>
              </w:rPr>
            </w:pPr>
            <w:r>
              <w:rPr>
                <w:rFonts w:hint="eastAsia" w:eastAsiaTheme="minorEastAsia"/>
              </w:rPr>
              <w:t>630</w:t>
            </w:r>
          </w:p>
        </w:tc>
        <w:tc>
          <w:tcPr>
            <w:tcW w:w="738" w:type="dxa"/>
            <w:vAlign w:val="center"/>
          </w:tcPr>
          <w:p>
            <w:pPr>
              <w:jc w:val="center"/>
              <w:rPr>
                <w:rFonts w:eastAsiaTheme="minorEastAsia"/>
              </w:rPr>
            </w:pPr>
            <w:r>
              <w:rPr>
                <w:rFonts w:hint="eastAsia" w:eastAsiaTheme="minorEastAsia"/>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背景噪声/dB</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37" w:type="dxa"/>
            <w:vAlign w:val="center"/>
          </w:tcPr>
          <w:p>
            <w:pPr>
              <w:jc w:val="center"/>
              <w:rPr>
                <w:rFonts w:eastAsiaTheme="minorEastAsia"/>
              </w:rPr>
            </w:pPr>
            <w:r>
              <w:rPr>
                <w:rFonts w:hint="eastAsia" w:eastAsiaTheme="minorEastAsia"/>
              </w:rPr>
              <w:t>1000</w:t>
            </w:r>
          </w:p>
        </w:tc>
        <w:tc>
          <w:tcPr>
            <w:tcW w:w="737" w:type="dxa"/>
            <w:vAlign w:val="center"/>
          </w:tcPr>
          <w:p>
            <w:pPr>
              <w:jc w:val="center"/>
              <w:rPr>
                <w:rFonts w:eastAsiaTheme="minorEastAsia"/>
              </w:rPr>
            </w:pPr>
            <w:r>
              <w:rPr>
                <w:rFonts w:hint="eastAsia" w:eastAsiaTheme="minorEastAsia"/>
              </w:rPr>
              <w:t>1250</w:t>
            </w:r>
          </w:p>
        </w:tc>
        <w:tc>
          <w:tcPr>
            <w:tcW w:w="737" w:type="dxa"/>
            <w:vAlign w:val="center"/>
          </w:tcPr>
          <w:p>
            <w:pPr>
              <w:jc w:val="center"/>
              <w:rPr>
                <w:rFonts w:eastAsiaTheme="minorEastAsia"/>
              </w:rPr>
            </w:pPr>
            <w:r>
              <w:rPr>
                <w:rFonts w:hint="eastAsia" w:eastAsiaTheme="minorEastAsia"/>
              </w:rPr>
              <w:t>1600</w:t>
            </w:r>
          </w:p>
        </w:tc>
        <w:tc>
          <w:tcPr>
            <w:tcW w:w="737" w:type="dxa"/>
            <w:vAlign w:val="center"/>
          </w:tcPr>
          <w:p>
            <w:pPr>
              <w:jc w:val="center"/>
              <w:rPr>
                <w:rFonts w:eastAsiaTheme="minorEastAsia"/>
              </w:rPr>
            </w:pPr>
            <w:r>
              <w:rPr>
                <w:rFonts w:hint="eastAsia" w:eastAsiaTheme="minorEastAsia"/>
              </w:rPr>
              <w:t>2000</w:t>
            </w:r>
          </w:p>
        </w:tc>
        <w:tc>
          <w:tcPr>
            <w:tcW w:w="737" w:type="dxa"/>
            <w:vAlign w:val="center"/>
          </w:tcPr>
          <w:p>
            <w:pPr>
              <w:jc w:val="center"/>
              <w:rPr>
                <w:rFonts w:eastAsiaTheme="minorEastAsia"/>
              </w:rPr>
            </w:pPr>
            <w:r>
              <w:rPr>
                <w:rFonts w:hint="eastAsia" w:eastAsiaTheme="minorEastAsia"/>
              </w:rPr>
              <w:t>2500</w:t>
            </w:r>
          </w:p>
        </w:tc>
        <w:tc>
          <w:tcPr>
            <w:tcW w:w="737" w:type="dxa"/>
            <w:vAlign w:val="center"/>
          </w:tcPr>
          <w:p>
            <w:pPr>
              <w:jc w:val="center"/>
              <w:rPr>
                <w:rFonts w:eastAsiaTheme="minorEastAsia"/>
              </w:rPr>
            </w:pPr>
            <w:r>
              <w:rPr>
                <w:rFonts w:hint="eastAsia" w:eastAsiaTheme="minorEastAsia"/>
              </w:rPr>
              <w:t>3150</w:t>
            </w:r>
          </w:p>
        </w:tc>
        <w:tc>
          <w:tcPr>
            <w:tcW w:w="737" w:type="dxa"/>
            <w:vAlign w:val="center"/>
          </w:tcPr>
          <w:p>
            <w:pPr>
              <w:jc w:val="center"/>
              <w:rPr>
                <w:rFonts w:eastAsiaTheme="minorEastAsia"/>
              </w:rPr>
            </w:pPr>
            <w:r>
              <w:rPr>
                <w:rFonts w:hint="eastAsia" w:eastAsiaTheme="minorEastAsia"/>
              </w:rPr>
              <w:t>4000</w:t>
            </w:r>
          </w:p>
        </w:tc>
        <w:tc>
          <w:tcPr>
            <w:tcW w:w="737" w:type="dxa"/>
            <w:vAlign w:val="center"/>
          </w:tcPr>
          <w:p>
            <w:pPr>
              <w:jc w:val="center"/>
              <w:rPr>
                <w:rFonts w:eastAsiaTheme="minorEastAsia"/>
              </w:rPr>
            </w:pPr>
            <w:r>
              <w:rPr>
                <w:rFonts w:hint="eastAsia" w:eastAsiaTheme="minorEastAsia"/>
              </w:rPr>
              <w:t>5000</w:t>
            </w:r>
          </w:p>
        </w:tc>
        <w:tc>
          <w:tcPr>
            <w:tcW w:w="737" w:type="dxa"/>
            <w:vAlign w:val="center"/>
          </w:tcPr>
          <w:p>
            <w:pPr>
              <w:jc w:val="center"/>
              <w:rPr>
                <w:rFonts w:eastAsiaTheme="minorEastAsia"/>
              </w:rPr>
            </w:pPr>
            <w:r>
              <w:rPr>
                <w:rFonts w:hint="eastAsia" w:eastAsiaTheme="minorEastAsia"/>
              </w:rPr>
              <w:t>6300</w:t>
            </w:r>
          </w:p>
        </w:tc>
        <w:tc>
          <w:tcPr>
            <w:tcW w:w="738" w:type="dxa"/>
            <w:vAlign w:val="center"/>
          </w:tcPr>
          <w:p>
            <w:pPr>
              <w:jc w:val="center"/>
              <w:rPr>
                <w:rFonts w:eastAsiaTheme="minorEastAsia"/>
              </w:rPr>
            </w:pPr>
            <w:r>
              <w:rPr>
                <w:rFonts w:hint="eastAsia" w:eastAsiaTheme="minorEastAsia"/>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背景噪声/dB</w:t>
            </w: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7" w:type="dxa"/>
            <w:vAlign w:val="center"/>
          </w:tcPr>
          <w:p>
            <w:pPr>
              <w:jc w:val="center"/>
              <w:rPr>
                <w:rFonts w:eastAsiaTheme="minorEastAsia"/>
              </w:rPr>
            </w:pPr>
          </w:p>
        </w:tc>
        <w:tc>
          <w:tcPr>
            <w:tcW w:w="738" w:type="dxa"/>
            <w:vAlign w:val="center"/>
          </w:tcPr>
          <w:p>
            <w:pPr>
              <w:jc w:val="center"/>
              <w:rPr>
                <w:rFonts w:eastAsiaTheme="minorEastAsia"/>
              </w:rPr>
            </w:pPr>
          </w:p>
        </w:tc>
      </w:tr>
    </w:tbl>
    <w:p>
      <w:pPr>
        <w:ind w:firstLine="420" w:firstLineChars="200"/>
        <w:jc w:val="left"/>
        <w:rPr>
          <w:rFonts w:eastAsiaTheme="minorEastAsia"/>
        </w:rPr>
      </w:pPr>
    </w:p>
    <w:p>
      <w:pPr>
        <w:ind w:firstLine="420" w:firstLineChars="200"/>
        <w:jc w:val="left"/>
        <w:rPr>
          <w:rFonts w:eastAsiaTheme="minorEastAsia"/>
        </w:rPr>
      </w:pPr>
      <w:r>
        <w:rPr>
          <w:rFonts w:hint="eastAsia" w:eastAsiaTheme="minorEastAsia"/>
        </w:rPr>
        <w:t>背景噪声A计权时间平均声级：</w:t>
      </w:r>
      <w:r>
        <w:rPr>
          <w:rFonts w:hint="eastAsia" w:eastAsiaTheme="minorEastAsia"/>
          <w:u w:val="single"/>
          <w:lang w:val="en-US" w:eastAsia="zh-CN"/>
        </w:rPr>
        <w:t xml:space="preserve">             </w:t>
      </w:r>
      <w:r>
        <w:rPr>
          <w:rFonts w:hint="eastAsia" w:eastAsiaTheme="minorEastAsia"/>
        </w:rPr>
        <w:t>dB</w:t>
      </w:r>
    </w:p>
    <w:p>
      <w:pPr>
        <w:jc w:val="left"/>
        <w:rPr>
          <w:rFonts w:eastAsiaTheme="minorEastAsia"/>
        </w:rPr>
      </w:pPr>
    </w:p>
    <w:p>
      <w:pPr>
        <w:ind w:firstLine="420"/>
        <w:jc w:val="center"/>
        <w:rPr>
          <w:sz w:val="18"/>
        </w:rPr>
      </w:pPr>
      <w:r>
        <w:rPr>
          <w:rFonts w:eastAsiaTheme="minorEastAsia"/>
        </w:rPr>
        <w:t>共×页  第×页</w:t>
      </w:r>
    </w:p>
    <w:p>
      <w:pPr>
        <w:ind w:firstLine="420"/>
        <w:jc w:val="center"/>
        <w:rPr>
          <w:rFonts w:eastAsiaTheme="minorEastAsia"/>
        </w:rPr>
      </w:pP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p>
    <w:p>
      <w:pPr>
        <w:adjustRightInd w:val="0"/>
        <w:snapToGrid w:val="0"/>
        <w:spacing w:line="360" w:lineRule="auto"/>
        <w:ind w:firstLine="480" w:firstLineChars="200"/>
        <w:jc w:val="center"/>
        <w:rPr>
          <w:sz w:val="24"/>
        </w:rPr>
      </w:pPr>
      <w:r>
        <w:rPr>
          <w:rFonts w:hint="eastAsia"/>
          <w:sz w:val="24"/>
        </w:rPr>
        <w:t>续表A.1 试听室测试证书的内页格式</w:t>
      </w:r>
    </w:p>
    <w:p>
      <w:r>
        <w:pict>
          <v:rect id="_x0000_s2145" o:spid="_x0000_s2145" o:spt="1" style="position:absolute;left:0pt;margin-top:10.25pt;height:624.45pt;width:442.55pt;mso-position-horizontal:left;mso-position-horizontal-relative:margin;z-index:251666432;v-text-anchor:middle;mso-width-relative:page;mso-height-relative:page;" filled="f" coordsize="21600,21600" o:gfxdata="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VLYX/XAAAACAEAAA8AAAAAAAAAAQAgAAAAIgAAAGRycy9kb3du&#10;cmV2LnhtbFBLAQIUABQAAAAIAIdO4kBIJdxbcgIAAN0EAAAOAAAAAAAAAAEAIAAAACYBAABkcnMv&#10;ZTJvRG9jLnhtbFBLBQYAAAAABgAGAFkBAAAKBgAAAAA=&#10;">
            <v:path/>
            <v:fill on="f" focussize="0,0"/>
            <v:stroke weight="1pt"/>
            <v:imagedata o:title=""/>
            <o:lock v:ext="edit"/>
          </v:rect>
        </w:pict>
      </w:r>
    </w:p>
    <w:p>
      <w:pPr>
        <w:ind w:firstLine="400"/>
        <w:jc w:val="center"/>
      </w:pPr>
      <w:r>
        <w:rPr>
          <w:rFonts w:eastAsiaTheme="minorEastAsia"/>
          <w:bCs/>
          <w:sz w:val="20"/>
        </w:rPr>
        <w:t>证书编号</w:t>
      </w:r>
      <w:r>
        <w:rPr>
          <w:rFonts w:eastAsiaTheme="minorEastAsia"/>
          <w:sz w:val="20"/>
        </w:rPr>
        <w:t>×××××××-××××</w:t>
      </w:r>
    </w:p>
    <w:p>
      <w:pPr>
        <w:jc w:val="left"/>
        <w:rPr>
          <w:rFonts w:eastAsiaTheme="minorEastAsia"/>
        </w:rPr>
      </w:pPr>
      <w:r>
        <w:rPr>
          <w:rFonts w:hint="eastAsia" w:eastAsiaTheme="minorEastAsia"/>
        </w:rPr>
        <w:t>5、试听室与观察室间的隔声性能</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87"/>
        <w:gridCol w:w="787"/>
        <w:gridCol w:w="788"/>
        <w:gridCol w:w="787"/>
        <w:gridCol w:w="788"/>
        <w:gridCol w:w="787"/>
        <w:gridCol w:w="788"/>
        <w:gridCol w:w="787"/>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87" w:type="dxa"/>
            <w:vAlign w:val="center"/>
          </w:tcPr>
          <w:p>
            <w:pPr>
              <w:jc w:val="center"/>
              <w:rPr>
                <w:rFonts w:eastAsiaTheme="minorEastAsia"/>
              </w:rPr>
            </w:pPr>
            <w:r>
              <w:rPr>
                <w:rFonts w:hint="eastAsia" w:eastAsiaTheme="minorEastAsia"/>
              </w:rPr>
              <w:t>100</w:t>
            </w:r>
          </w:p>
        </w:tc>
        <w:tc>
          <w:tcPr>
            <w:tcW w:w="787" w:type="dxa"/>
            <w:vAlign w:val="center"/>
          </w:tcPr>
          <w:p>
            <w:pPr>
              <w:jc w:val="center"/>
              <w:rPr>
                <w:rFonts w:eastAsiaTheme="minorEastAsia"/>
              </w:rPr>
            </w:pPr>
            <w:r>
              <w:rPr>
                <w:rFonts w:hint="eastAsia" w:eastAsiaTheme="minorEastAsia"/>
              </w:rPr>
              <w:t>125</w:t>
            </w:r>
          </w:p>
        </w:tc>
        <w:tc>
          <w:tcPr>
            <w:tcW w:w="788" w:type="dxa"/>
            <w:vAlign w:val="center"/>
          </w:tcPr>
          <w:p>
            <w:pPr>
              <w:jc w:val="center"/>
              <w:rPr>
                <w:rFonts w:eastAsiaTheme="minorEastAsia"/>
              </w:rPr>
            </w:pPr>
            <w:r>
              <w:rPr>
                <w:rFonts w:hint="eastAsia" w:eastAsiaTheme="minorEastAsia"/>
              </w:rPr>
              <w:t>160</w:t>
            </w:r>
          </w:p>
        </w:tc>
        <w:tc>
          <w:tcPr>
            <w:tcW w:w="787" w:type="dxa"/>
            <w:vAlign w:val="center"/>
          </w:tcPr>
          <w:p>
            <w:pPr>
              <w:jc w:val="center"/>
              <w:rPr>
                <w:rFonts w:eastAsiaTheme="minorEastAsia"/>
              </w:rPr>
            </w:pPr>
            <w:r>
              <w:rPr>
                <w:rFonts w:hint="eastAsia" w:eastAsiaTheme="minorEastAsia"/>
              </w:rPr>
              <w:t>200</w:t>
            </w:r>
          </w:p>
        </w:tc>
        <w:tc>
          <w:tcPr>
            <w:tcW w:w="788" w:type="dxa"/>
            <w:vAlign w:val="center"/>
          </w:tcPr>
          <w:p>
            <w:pPr>
              <w:jc w:val="center"/>
              <w:rPr>
                <w:rFonts w:eastAsiaTheme="minorEastAsia"/>
              </w:rPr>
            </w:pPr>
            <w:r>
              <w:rPr>
                <w:rFonts w:hint="eastAsia" w:eastAsiaTheme="minorEastAsia"/>
              </w:rPr>
              <w:t>250</w:t>
            </w:r>
          </w:p>
        </w:tc>
        <w:tc>
          <w:tcPr>
            <w:tcW w:w="787" w:type="dxa"/>
            <w:vAlign w:val="center"/>
          </w:tcPr>
          <w:p>
            <w:pPr>
              <w:jc w:val="center"/>
              <w:rPr>
                <w:rFonts w:eastAsiaTheme="minorEastAsia"/>
              </w:rPr>
            </w:pPr>
            <w:r>
              <w:rPr>
                <w:rFonts w:hint="eastAsia" w:eastAsiaTheme="minorEastAsia"/>
              </w:rPr>
              <w:t>315</w:t>
            </w:r>
          </w:p>
        </w:tc>
        <w:tc>
          <w:tcPr>
            <w:tcW w:w="788" w:type="dxa"/>
            <w:vAlign w:val="center"/>
          </w:tcPr>
          <w:p>
            <w:pPr>
              <w:jc w:val="center"/>
              <w:rPr>
                <w:rFonts w:eastAsiaTheme="minorEastAsia"/>
              </w:rPr>
            </w:pPr>
            <w:r>
              <w:rPr>
                <w:rFonts w:hint="eastAsia" w:eastAsiaTheme="minorEastAsia"/>
              </w:rPr>
              <w:t>400</w:t>
            </w:r>
          </w:p>
        </w:tc>
        <w:tc>
          <w:tcPr>
            <w:tcW w:w="787" w:type="dxa"/>
            <w:vAlign w:val="center"/>
          </w:tcPr>
          <w:p>
            <w:pPr>
              <w:jc w:val="center"/>
              <w:rPr>
                <w:rFonts w:eastAsiaTheme="minorEastAsia"/>
              </w:rPr>
            </w:pPr>
            <w:r>
              <w:rPr>
                <w:rFonts w:hint="eastAsia" w:eastAsiaTheme="minorEastAsia"/>
              </w:rPr>
              <w:t>500</w:t>
            </w:r>
          </w:p>
        </w:tc>
        <w:tc>
          <w:tcPr>
            <w:tcW w:w="788" w:type="dxa"/>
            <w:vAlign w:val="center"/>
          </w:tcPr>
          <w:p>
            <w:pPr>
              <w:jc w:val="center"/>
              <w:rPr>
                <w:rFonts w:eastAsiaTheme="minorEastAsia"/>
              </w:rPr>
            </w:pPr>
            <w:r>
              <w:rPr>
                <w:rFonts w:hint="eastAsia" w:eastAsiaTheme="minorEastAsia"/>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rPr>
              <w:t>标准化声压级差</w:t>
            </w:r>
            <w:r>
              <w:rPr>
                <w:rFonts w:hint="eastAsia" w:eastAsiaTheme="minorEastAsia"/>
              </w:rPr>
              <w:t>/dB</w:t>
            </w:r>
          </w:p>
        </w:tc>
        <w:tc>
          <w:tcPr>
            <w:tcW w:w="787"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87" w:type="dxa"/>
            <w:vAlign w:val="center"/>
          </w:tcPr>
          <w:p>
            <w:pPr>
              <w:jc w:val="center"/>
              <w:rPr>
                <w:rFonts w:eastAsiaTheme="minorEastAsia"/>
              </w:rPr>
            </w:pPr>
            <w:r>
              <w:rPr>
                <w:rFonts w:hint="eastAsia" w:eastAsiaTheme="minorEastAsia"/>
              </w:rPr>
              <w:t>800</w:t>
            </w:r>
          </w:p>
        </w:tc>
        <w:tc>
          <w:tcPr>
            <w:tcW w:w="787" w:type="dxa"/>
            <w:vAlign w:val="center"/>
          </w:tcPr>
          <w:p>
            <w:pPr>
              <w:jc w:val="center"/>
              <w:rPr>
                <w:rFonts w:eastAsiaTheme="minorEastAsia"/>
              </w:rPr>
            </w:pPr>
            <w:r>
              <w:rPr>
                <w:rFonts w:hint="eastAsia" w:eastAsiaTheme="minorEastAsia"/>
              </w:rPr>
              <w:t>1000</w:t>
            </w:r>
          </w:p>
        </w:tc>
        <w:tc>
          <w:tcPr>
            <w:tcW w:w="788" w:type="dxa"/>
            <w:vAlign w:val="center"/>
          </w:tcPr>
          <w:p>
            <w:pPr>
              <w:jc w:val="center"/>
              <w:rPr>
                <w:rFonts w:eastAsiaTheme="minorEastAsia"/>
              </w:rPr>
            </w:pPr>
            <w:r>
              <w:rPr>
                <w:rFonts w:hint="eastAsia" w:eastAsiaTheme="minorEastAsia"/>
              </w:rPr>
              <w:t>1250</w:t>
            </w:r>
          </w:p>
        </w:tc>
        <w:tc>
          <w:tcPr>
            <w:tcW w:w="787" w:type="dxa"/>
            <w:vAlign w:val="center"/>
          </w:tcPr>
          <w:p>
            <w:pPr>
              <w:jc w:val="center"/>
              <w:rPr>
                <w:rFonts w:eastAsiaTheme="minorEastAsia"/>
              </w:rPr>
            </w:pPr>
            <w:r>
              <w:rPr>
                <w:rFonts w:hint="eastAsia" w:eastAsiaTheme="minorEastAsia"/>
              </w:rPr>
              <w:t>1600</w:t>
            </w:r>
          </w:p>
        </w:tc>
        <w:tc>
          <w:tcPr>
            <w:tcW w:w="788" w:type="dxa"/>
            <w:vAlign w:val="center"/>
          </w:tcPr>
          <w:p>
            <w:pPr>
              <w:jc w:val="center"/>
              <w:rPr>
                <w:rFonts w:eastAsiaTheme="minorEastAsia"/>
              </w:rPr>
            </w:pPr>
            <w:r>
              <w:rPr>
                <w:rFonts w:hint="eastAsia" w:eastAsiaTheme="minorEastAsia"/>
              </w:rPr>
              <w:t>2000</w:t>
            </w:r>
          </w:p>
        </w:tc>
        <w:tc>
          <w:tcPr>
            <w:tcW w:w="787" w:type="dxa"/>
            <w:vAlign w:val="center"/>
          </w:tcPr>
          <w:p>
            <w:pPr>
              <w:jc w:val="center"/>
              <w:rPr>
                <w:rFonts w:eastAsiaTheme="minorEastAsia"/>
              </w:rPr>
            </w:pPr>
            <w:r>
              <w:rPr>
                <w:rFonts w:hint="eastAsia" w:eastAsiaTheme="minorEastAsia"/>
              </w:rPr>
              <w:t>2500</w:t>
            </w:r>
          </w:p>
        </w:tc>
        <w:tc>
          <w:tcPr>
            <w:tcW w:w="788" w:type="dxa"/>
            <w:vAlign w:val="center"/>
          </w:tcPr>
          <w:p>
            <w:pPr>
              <w:jc w:val="center"/>
              <w:rPr>
                <w:rFonts w:eastAsiaTheme="minorEastAsia"/>
              </w:rPr>
            </w:pPr>
            <w:r>
              <w:rPr>
                <w:rFonts w:hint="eastAsia" w:eastAsiaTheme="minorEastAsia"/>
              </w:rPr>
              <w:t>3150</w:t>
            </w:r>
          </w:p>
        </w:tc>
        <w:tc>
          <w:tcPr>
            <w:tcW w:w="787" w:type="dxa"/>
            <w:vAlign w:val="center"/>
          </w:tcPr>
          <w:p>
            <w:pPr>
              <w:jc w:val="center"/>
              <w:rPr>
                <w:rFonts w:eastAsiaTheme="minorEastAsia"/>
              </w:rPr>
            </w:pPr>
            <w:r>
              <w:rPr>
                <w:rFonts w:hint="eastAsia" w:eastAsiaTheme="minorEastAsia"/>
              </w:rPr>
              <w:t>4000</w:t>
            </w:r>
          </w:p>
        </w:tc>
        <w:tc>
          <w:tcPr>
            <w:tcW w:w="788" w:type="dxa"/>
            <w:vAlign w:val="center"/>
          </w:tcPr>
          <w:p>
            <w:pPr>
              <w:jc w:val="center"/>
              <w:rPr>
                <w:rFonts w:eastAsiaTheme="minorEastAsia"/>
              </w:rPr>
            </w:pPr>
            <w:r>
              <w:rPr>
                <w:rFonts w:hint="eastAsia" w:eastAsiaTheme="minorEastAsia"/>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rPr>
              <w:t>标准化声压级差</w:t>
            </w:r>
            <w:r>
              <w:rPr>
                <w:rFonts w:hint="eastAsia" w:eastAsiaTheme="minorEastAsia"/>
              </w:rPr>
              <w:t>/dB</w:t>
            </w:r>
          </w:p>
        </w:tc>
        <w:tc>
          <w:tcPr>
            <w:tcW w:w="787"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r>
    </w:tbl>
    <w:p>
      <w:pPr>
        <w:ind w:firstLine="420" w:firstLineChars="200"/>
        <w:jc w:val="left"/>
        <w:rPr>
          <w:rFonts w:eastAsiaTheme="minorEastAsia"/>
        </w:rPr>
      </w:pPr>
    </w:p>
    <w:p>
      <w:pPr>
        <w:ind w:firstLine="420" w:firstLineChars="200"/>
        <w:jc w:val="left"/>
        <w:rPr>
          <w:rFonts w:eastAsiaTheme="minorEastAsia"/>
        </w:rPr>
      </w:pPr>
      <w:r>
        <w:rPr>
          <w:rFonts w:hint="eastAsia" w:eastAsiaTheme="minorEastAsia"/>
        </w:rPr>
        <w:t>计权</w:t>
      </w:r>
      <w:r>
        <w:rPr>
          <w:rFonts w:hint="eastAsia"/>
        </w:rPr>
        <w:t>标准化声压级差</w:t>
      </w:r>
      <w:r>
        <w:rPr>
          <w:i/>
        </w:rPr>
        <w:t>D</w:t>
      </w:r>
      <w:r>
        <w:rPr>
          <w:iCs/>
          <w:vertAlign w:val="subscript"/>
        </w:rPr>
        <w:t>nT,</w:t>
      </w:r>
      <w:r>
        <w:rPr>
          <w:vertAlign w:val="subscript"/>
        </w:rPr>
        <w:t>w</w:t>
      </w:r>
      <w:r>
        <w:rPr>
          <w:rFonts w:hint="eastAsia" w:eastAsiaTheme="minorEastAsia"/>
        </w:rPr>
        <w:t>（</w:t>
      </w:r>
      <w:r>
        <w:rPr>
          <w:rFonts w:hint="eastAsia" w:eastAsiaTheme="minorEastAsia"/>
          <w:i/>
        </w:rPr>
        <w:t>C</w:t>
      </w:r>
      <w:r>
        <w:rPr>
          <w:rFonts w:hint="eastAsia" w:eastAsiaTheme="minorEastAsia"/>
        </w:rPr>
        <w:t>；</w:t>
      </w:r>
      <w:r>
        <w:rPr>
          <w:rFonts w:hint="eastAsia" w:eastAsiaTheme="minorEastAsia"/>
          <w:i/>
        </w:rPr>
        <w:t>C</w:t>
      </w:r>
      <w:r>
        <w:rPr>
          <w:rFonts w:hint="eastAsia" w:eastAsiaTheme="minorEastAsia"/>
          <w:vertAlign w:val="subscript"/>
        </w:rPr>
        <w:t>tr</w:t>
      </w:r>
      <w:r>
        <w:rPr>
          <w:rFonts w:hint="eastAsia" w:eastAsiaTheme="minorEastAsia"/>
        </w:rPr>
        <w:t>）=</w:t>
      </w:r>
      <w:r>
        <w:rPr>
          <w:rFonts w:hint="eastAsia" w:eastAsiaTheme="minorEastAsia"/>
          <w:u w:val="single"/>
        </w:rPr>
        <w:t xml:space="preserve">      （    ；    ）</w:t>
      </w:r>
      <w:r>
        <w:rPr>
          <w:rFonts w:hint="eastAsia" w:eastAsiaTheme="minorEastAsia"/>
        </w:rPr>
        <w:t xml:space="preserve"> dB</w:t>
      </w:r>
    </w:p>
    <w:p>
      <w:pPr>
        <w:jc w:val="left"/>
        <w:rPr>
          <w:rFonts w:eastAsiaTheme="minorEastAsia"/>
        </w:rPr>
      </w:pPr>
    </w:p>
    <w:p>
      <w:pPr>
        <w:jc w:val="left"/>
        <w:rPr>
          <w:rFonts w:eastAsiaTheme="minorEastAsia"/>
        </w:rPr>
      </w:pPr>
      <w:r>
        <w:rPr>
          <w:rFonts w:hint="eastAsia" w:eastAsiaTheme="minorEastAsia"/>
        </w:rPr>
        <w:t>6、试听室顶部楼板的撞击声压级</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87"/>
        <w:gridCol w:w="787"/>
        <w:gridCol w:w="788"/>
        <w:gridCol w:w="787"/>
        <w:gridCol w:w="788"/>
        <w:gridCol w:w="787"/>
        <w:gridCol w:w="788"/>
        <w:gridCol w:w="787"/>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87" w:type="dxa"/>
            <w:vAlign w:val="center"/>
          </w:tcPr>
          <w:p>
            <w:pPr>
              <w:jc w:val="center"/>
              <w:rPr>
                <w:rFonts w:eastAsiaTheme="minorEastAsia"/>
              </w:rPr>
            </w:pPr>
            <w:r>
              <w:rPr>
                <w:rFonts w:hint="eastAsia" w:eastAsiaTheme="minorEastAsia"/>
              </w:rPr>
              <w:t>100</w:t>
            </w:r>
          </w:p>
        </w:tc>
        <w:tc>
          <w:tcPr>
            <w:tcW w:w="787" w:type="dxa"/>
            <w:vAlign w:val="center"/>
          </w:tcPr>
          <w:p>
            <w:pPr>
              <w:jc w:val="center"/>
              <w:rPr>
                <w:rFonts w:eastAsiaTheme="minorEastAsia"/>
              </w:rPr>
            </w:pPr>
            <w:r>
              <w:rPr>
                <w:rFonts w:hint="eastAsia" w:eastAsiaTheme="minorEastAsia"/>
              </w:rPr>
              <w:t>125</w:t>
            </w:r>
          </w:p>
        </w:tc>
        <w:tc>
          <w:tcPr>
            <w:tcW w:w="788" w:type="dxa"/>
            <w:vAlign w:val="center"/>
          </w:tcPr>
          <w:p>
            <w:pPr>
              <w:jc w:val="center"/>
              <w:rPr>
                <w:rFonts w:eastAsiaTheme="minorEastAsia"/>
              </w:rPr>
            </w:pPr>
            <w:r>
              <w:rPr>
                <w:rFonts w:hint="eastAsia" w:eastAsiaTheme="minorEastAsia"/>
              </w:rPr>
              <w:t>160</w:t>
            </w:r>
          </w:p>
        </w:tc>
        <w:tc>
          <w:tcPr>
            <w:tcW w:w="787" w:type="dxa"/>
            <w:vAlign w:val="center"/>
          </w:tcPr>
          <w:p>
            <w:pPr>
              <w:jc w:val="center"/>
              <w:rPr>
                <w:rFonts w:eastAsiaTheme="minorEastAsia"/>
              </w:rPr>
            </w:pPr>
            <w:r>
              <w:rPr>
                <w:rFonts w:hint="eastAsia" w:eastAsiaTheme="minorEastAsia"/>
              </w:rPr>
              <w:t>200</w:t>
            </w:r>
          </w:p>
        </w:tc>
        <w:tc>
          <w:tcPr>
            <w:tcW w:w="788" w:type="dxa"/>
            <w:vAlign w:val="center"/>
          </w:tcPr>
          <w:p>
            <w:pPr>
              <w:jc w:val="center"/>
              <w:rPr>
                <w:rFonts w:eastAsiaTheme="minorEastAsia"/>
              </w:rPr>
            </w:pPr>
            <w:r>
              <w:rPr>
                <w:rFonts w:hint="eastAsia" w:eastAsiaTheme="minorEastAsia"/>
              </w:rPr>
              <w:t>250</w:t>
            </w:r>
          </w:p>
        </w:tc>
        <w:tc>
          <w:tcPr>
            <w:tcW w:w="787" w:type="dxa"/>
            <w:vAlign w:val="center"/>
          </w:tcPr>
          <w:p>
            <w:pPr>
              <w:jc w:val="center"/>
              <w:rPr>
                <w:rFonts w:eastAsiaTheme="minorEastAsia"/>
              </w:rPr>
            </w:pPr>
            <w:r>
              <w:rPr>
                <w:rFonts w:hint="eastAsia" w:eastAsiaTheme="minorEastAsia"/>
              </w:rPr>
              <w:t>315</w:t>
            </w:r>
          </w:p>
        </w:tc>
        <w:tc>
          <w:tcPr>
            <w:tcW w:w="788" w:type="dxa"/>
            <w:vAlign w:val="center"/>
          </w:tcPr>
          <w:p>
            <w:pPr>
              <w:jc w:val="center"/>
              <w:rPr>
                <w:rFonts w:eastAsiaTheme="minorEastAsia"/>
              </w:rPr>
            </w:pPr>
            <w:r>
              <w:rPr>
                <w:rFonts w:hint="eastAsia" w:eastAsiaTheme="minorEastAsia"/>
              </w:rPr>
              <w:t>400</w:t>
            </w:r>
          </w:p>
        </w:tc>
        <w:tc>
          <w:tcPr>
            <w:tcW w:w="787" w:type="dxa"/>
            <w:vAlign w:val="center"/>
          </w:tcPr>
          <w:p>
            <w:pPr>
              <w:jc w:val="center"/>
              <w:rPr>
                <w:rFonts w:eastAsiaTheme="minorEastAsia"/>
              </w:rPr>
            </w:pPr>
            <w:r>
              <w:rPr>
                <w:rFonts w:hint="eastAsia" w:eastAsiaTheme="minorEastAsia"/>
              </w:rPr>
              <w:t>500</w:t>
            </w:r>
          </w:p>
        </w:tc>
        <w:tc>
          <w:tcPr>
            <w:tcW w:w="788" w:type="dxa"/>
            <w:vAlign w:val="center"/>
          </w:tcPr>
          <w:p>
            <w:pPr>
              <w:jc w:val="center"/>
              <w:rPr>
                <w:rFonts w:eastAsiaTheme="minorEastAsia"/>
              </w:rPr>
            </w:pPr>
            <w:r>
              <w:rPr>
                <w:rFonts w:hint="eastAsia" w:eastAsiaTheme="minorEastAsia"/>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标准化撞击声压级/dB</w:t>
            </w:r>
          </w:p>
        </w:tc>
        <w:tc>
          <w:tcPr>
            <w:tcW w:w="787"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频率/Hz</w:t>
            </w:r>
          </w:p>
        </w:tc>
        <w:tc>
          <w:tcPr>
            <w:tcW w:w="787" w:type="dxa"/>
            <w:vAlign w:val="center"/>
          </w:tcPr>
          <w:p>
            <w:pPr>
              <w:jc w:val="center"/>
              <w:rPr>
                <w:rFonts w:eastAsiaTheme="minorEastAsia"/>
              </w:rPr>
            </w:pPr>
            <w:r>
              <w:rPr>
                <w:rFonts w:hint="eastAsia" w:eastAsiaTheme="minorEastAsia"/>
              </w:rPr>
              <w:t>800</w:t>
            </w:r>
          </w:p>
        </w:tc>
        <w:tc>
          <w:tcPr>
            <w:tcW w:w="787" w:type="dxa"/>
            <w:vAlign w:val="center"/>
          </w:tcPr>
          <w:p>
            <w:pPr>
              <w:jc w:val="center"/>
              <w:rPr>
                <w:rFonts w:eastAsiaTheme="minorEastAsia"/>
              </w:rPr>
            </w:pPr>
            <w:r>
              <w:rPr>
                <w:rFonts w:hint="eastAsia" w:eastAsiaTheme="minorEastAsia"/>
              </w:rPr>
              <w:t>1000</w:t>
            </w:r>
          </w:p>
        </w:tc>
        <w:tc>
          <w:tcPr>
            <w:tcW w:w="788" w:type="dxa"/>
            <w:vAlign w:val="center"/>
          </w:tcPr>
          <w:p>
            <w:pPr>
              <w:jc w:val="center"/>
              <w:rPr>
                <w:rFonts w:eastAsiaTheme="minorEastAsia"/>
              </w:rPr>
            </w:pPr>
            <w:r>
              <w:rPr>
                <w:rFonts w:hint="eastAsia" w:eastAsiaTheme="minorEastAsia"/>
              </w:rPr>
              <w:t>1250</w:t>
            </w:r>
          </w:p>
        </w:tc>
        <w:tc>
          <w:tcPr>
            <w:tcW w:w="787" w:type="dxa"/>
            <w:vAlign w:val="center"/>
          </w:tcPr>
          <w:p>
            <w:pPr>
              <w:jc w:val="center"/>
              <w:rPr>
                <w:rFonts w:eastAsiaTheme="minorEastAsia"/>
              </w:rPr>
            </w:pPr>
            <w:r>
              <w:rPr>
                <w:rFonts w:hint="eastAsia" w:eastAsiaTheme="minorEastAsia"/>
              </w:rPr>
              <w:t>1600</w:t>
            </w:r>
          </w:p>
        </w:tc>
        <w:tc>
          <w:tcPr>
            <w:tcW w:w="788" w:type="dxa"/>
            <w:vAlign w:val="center"/>
          </w:tcPr>
          <w:p>
            <w:pPr>
              <w:jc w:val="center"/>
              <w:rPr>
                <w:rFonts w:eastAsiaTheme="minorEastAsia"/>
              </w:rPr>
            </w:pPr>
            <w:r>
              <w:rPr>
                <w:rFonts w:hint="eastAsia" w:eastAsiaTheme="minorEastAsia"/>
              </w:rPr>
              <w:t>2000</w:t>
            </w:r>
          </w:p>
        </w:tc>
        <w:tc>
          <w:tcPr>
            <w:tcW w:w="787" w:type="dxa"/>
            <w:vAlign w:val="center"/>
          </w:tcPr>
          <w:p>
            <w:pPr>
              <w:jc w:val="center"/>
              <w:rPr>
                <w:rFonts w:eastAsiaTheme="minorEastAsia"/>
              </w:rPr>
            </w:pPr>
            <w:r>
              <w:rPr>
                <w:rFonts w:hint="eastAsia" w:eastAsiaTheme="minorEastAsia"/>
              </w:rPr>
              <w:t>2500</w:t>
            </w:r>
          </w:p>
        </w:tc>
        <w:tc>
          <w:tcPr>
            <w:tcW w:w="788" w:type="dxa"/>
            <w:vAlign w:val="center"/>
          </w:tcPr>
          <w:p>
            <w:pPr>
              <w:jc w:val="center"/>
              <w:rPr>
                <w:rFonts w:eastAsiaTheme="minorEastAsia"/>
              </w:rPr>
            </w:pPr>
            <w:r>
              <w:rPr>
                <w:rFonts w:hint="eastAsia" w:eastAsiaTheme="minorEastAsia"/>
              </w:rPr>
              <w:t>3150</w:t>
            </w:r>
          </w:p>
        </w:tc>
        <w:tc>
          <w:tcPr>
            <w:tcW w:w="787" w:type="dxa"/>
            <w:vAlign w:val="center"/>
          </w:tcPr>
          <w:p>
            <w:pPr>
              <w:jc w:val="center"/>
              <w:rPr>
                <w:rFonts w:eastAsiaTheme="minorEastAsia"/>
              </w:rPr>
            </w:pPr>
            <w:r>
              <w:rPr>
                <w:rFonts w:hint="eastAsia" w:eastAsiaTheme="minorEastAsia"/>
              </w:rPr>
              <w:t>4000</w:t>
            </w:r>
          </w:p>
        </w:tc>
        <w:tc>
          <w:tcPr>
            <w:tcW w:w="788" w:type="dxa"/>
            <w:vAlign w:val="center"/>
          </w:tcPr>
          <w:p>
            <w:pPr>
              <w:jc w:val="center"/>
              <w:rPr>
                <w:rFonts w:eastAsiaTheme="minorEastAsia"/>
              </w:rPr>
            </w:pPr>
            <w:r>
              <w:rPr>
                <w:rFonts w:hint="eastAsia" w:eastAsiaTheme="minorEastAsia"/>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76" w:type="dxa"/>
            <w:vAlign w:val="center"/>
          </w:tcPr>
          <w:p>
            <w:pPr>
              <w:jc w:val="center"/>
              <w:rPr>
                <w:rFonts w:eastAsiaTheme="minorEastAsia"/>
              </w:rPr>
            </w:pPr>
            <w:r>
              <w:rPr>
                <w:rFonts w:hint="eastAsia" w:eastAsiaTheme="minorEastAsia"/>
              </w:rPr>
              <w:t>标准化撞击声压级/dB</w:t>
            </w:r>
          </w:p>
        </w:tc>
        <w:tc>
          <w:tcPr>
            <w:tcW w:w="787"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c>
          <w:tcPr>
            <w:tcW w:w="787" w:type="dxa"/>
            <w:vAlign w:val="center"/>
          </w:tcPr>
          <w:p>
            <w:pPr>
              <w:jc w:val="center"/>
              <w:rPr>
                <w:rFonts w:eastAsiaTheme="minorEastAsia"/>
              </w:rPr>
            </w:pPr>
          </w:p>
        </w:tc>
        <w:tc>
          <w:tcPr>
            <w:tcW w:w="788" w:type="dxa"/>
            <w:vAlign w:val="center"/>
          </w:tcPr>
          <w:p>
            <w:pPr>
              <w:jc w:val="center"/>
              <w:rPr>
                <w:rFonts w:eastAsiaTheme="minorEastAsia"/>
              </w:rPr>
            </w:pPr>
          </w:p>
        </w:tc>
      </w:tr>
    </w:tbl>
    <w:p>
      <w:pPr>
        <w:ind w:firstLine="420" w:firstLineChars="200"/>
        <w:jc w:val="left"/>
        <w:rPr>
          <w:rFonts w:eastAsiaTheme="minorEastAsia"/>
        </w:rPr>
      </w:pPr>
    </w:p>
    <w:p>
      <w:pPr>
        <w:ind w:firstLine="420" w:firstLineChars="200"/>
        <w:jc w:val="left"/>
        <w:rPr>
          <w:rFonts w:eastAsiaTheme="minorEastAsia"/>
        </w:rPr>
      </w:pPr>
      <w:r>
        <w:rPr>
          <w:rFonts w:hint="eastAsia" w:eastAsiaTheme="minorEastAsia"/>
        </w:rPr>
        <w:t>计权标准化撞击声压级</w:t>
      </w:r>
      <w:r>
        <w:rPr>
          <w:rFonts w:hint="eastAsia" w:eastAsiaTheme="minorEastAsia"/>
          <w:i/>
        </w:rPr>
        <w:t>L</w:t>
      </w:r>
      <w:r>
        <w:rPr>
          <w:rFonts w:hint="eastAsia" w:ascii="宋体" w:hAnsi="宋体" w:cs="宋体"/>
          <w:sz w:val="24"/>
          <w:vertAlign w:val="superscript"/>
        </w:rPr>
        <w:t>＇</w:t>
      </w:r>
      <w:r>
        <w:rPr>
          <w:rFonts w:hint="eastAsia" w:eastAsiaTheme="minorEastAsia"/>
          <w:vertAlign w:val="subscript"/>
        </w:rPr>
        <w:t>nT，w</w:t>
      </w:r>
      <w:r>
        <w:rPr>
          <w:rFonts w:hint="eastAsia" w:eastAsiaTheme="minorEastAsia"/>
        </w:rPr>
        <w:t>（</w:t>
      </w:r>
      <w:r>
        <w:rPr>
          <w:rFonts w:hint="eastAsia" w:eastAsiaTheme="minorEastAsia"/>
          <w:i/>
        </w:rPr>
        <w:t>C</w:t>
      </w:r>
      <w:r>
        <w:rPr>
          <w:rFonts w:hint="eastAsia" w:eastAsiaTheme="minorEastAsia"/>
          <w:vertAlign w:val="subscript"/>
        </w:rPr>
        <w:t>1</w:t>
      </w:r>
      <w:r>
        <w:rPr>
          <w:rFonts w:hint="eastAsia" w:eastAsiaTheme="minorEastAsia"/>
        </w:rPr>
        <w:t>）=</w:t>
      </w:r>
      <w:r>
        <w:rPr>
          <w:rFonts w:hint="eastAsia" w:eastAsiaTheme="minorEastAsia"/>
          <w:u w:val="single"/>
        </w:rPr>
        <w:t xml:space="preserve">      （    ）</w:t>
      </w:r>
      <w:r>
        <w:rPr>
          <w:rFonts w:hint="eastAsia" w:eastAsiaTheme="minorEastAsia"/>
        </w:rPr>
        <w:t xml:space="preserve"> dB</w:t>
      </w:r>
    </w:p>
    <w:p>
      <w:pPr>
        <w:jc w:val="left"/>
        <w:rPr>
          <w:rFonts w:eastAsiaTheme="minorEastAsia"/>
        </w:rPr>
      </w:pPr>
    </w:p>
    <w:p>
      <w:pPr>
        <w:ind w:firstLine="420"/>
        <w:jc w:val="center"/>
        <w:rPr>
          <w:rFonts w:eastAsiaTheme="minorEastAsia"/>
        </w:rPr>
      </w:pPr>
    </w:p>
    <w:p>
      <w:pPr>
        <w:adjustRightInd w:val="0"/>
        <w:snapToGrid w:val="0"/>
        <w:spacing w:line="360" w:lineRule="auto"/>
        <w:ind w:firstLine="480" w:firstLineChars="200"/>
        <w:rPr>
          <w:sz w:val="24"/>
        </w:rPr>
      </w:pPr>
    </w:p>
    <w:p>
      <w:pPr>
        <w:ind w:firstLine="400"/>
        <w:jc w:val="center"/>
        <w:rPr>
          <w:sz w:val="20"/>
        </w:rPr>
      </w:pPr>
      <w:r>
        <w:rPr>
          <w:sz w:val="20"/>
        </w:rPr>
        <w:t>--以下空白--</w:t>
      </w: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p>
    <w:p>
      <w:pPr>
        <w:ind w:firstLine="420"/>
        <w:jc w:val="center"/>
        <w:rPr>
          <w:sz w:val="24"/>
        </w:rPr>
      </w:pPr>
      <w:r>
        <w:rPr>
          <w:rFonts w:eastAsiaTheme="minorEastAsia"/>
        </w:rPr>
        <w:t>共×页  第×页</w:t>
      </w:r>
    </w:p>
    <w:p>
      <w:pPr>
        <w:pStyle w:val="2"/>
      </w:pPr>
      <w:r>
        <w:rPr>
          <w:bCs/>
          <w:color w:val="FF0000"/>
        </w:rPr>
        <w:br w:type="page"/>
      </w:r>
      <w:bookmarkStart w:id="81" w:name="_Toc26032"/>
      <w:bookmarkStart w:id="82" w:name="_Toc7002"/>
      <w:bookmarkStart w:id="83" w:name="_Toc13624"/>
      <w:bookmarkStart w:id="84" w:name="_Toc31774"/>
      <w:r>
        <w:t>附录</w:t>
      </w:r>
      <w:bookmarkEnd w:id="81"/>
      <w:bookmarkEnd w:id="82"/>
      <w:bookmarkEnd w:id="83"/>
      <w:r>
        <w:rPr>
          <w:rFonts w:hint="eastAsia"/>
        </w:rPr>
        <w:t>B</w:t>
      </w:r>
      <w:bookmarkEnd w:id="84"/>
    </w:p>
    <w:p>
      <w:pPr>
        <w:pStyle w:val="2"/>
        <w:spacing w:beforeLines="100" w:afterLines="100"/>
        <w:jc w:val="center"/>
      </w:pPr>
      <w:bookmarkStart w:id="85" w:name="_Toc7316"/>
      <w:bookmarkStart w:id="86" w:name="_Toc30687"/>
      <w:bookmarkStart w:id="87" w:name="_Toc28172"/>
      <w:bookmarkStart w:id="88" w:name="_Toc6305"/>
      <w:r>
        <w:rPr>
          <w:rFonts w:hint="eastAsia"/>
        </w:rPr>
        <w:t>测量不确定度的评定示例</w:t>
      </w:r>
      <w:bookmarkEnd w:id="85"/>
      <w:bookmarkEnd w:id="86"/>
      <w:bookmarkEnd w:id="87"/>
      <w:bookmarkEnd w:id="88"/>
    </w:p>
    <w:p>
      <w:pPr>
        <w:spacing w:line="300" w:lineRule="auto"/>
        <w:rPr>
          <w:sz w:val="24"/>
        </w:rPr>
      </w:pPr>
      <w:r>
        <w:rPr>
          <w:rFonts w:hint="eastAsia"/>
          <w:sz w:val="24"/>
        </w:rPr>
        <w:t>B.1 测量方法</w:t>
      </w:r>
    </w:p>
    <w:p>
      <w:pPr>
        <w:spacing w:line="300" w:lineRule="auto"/>
        <w:ind w:firstLine="480" w:firstLineChars="200"/>
        <w:rPr>
          <w:sz w:val="24"/>
        </w:rPr>
      </w:pPr>
      <w:r>
        <w:rPr>
          <w:rFonts w:hint="eastAsia"/>
          <w:sz w:val="24"/>
        </w:rPr>
        <w:t>本规范以试听室的混响时间测试结果为例分析测量不确定度，</w:t>
      </w:r>
      <w:r>
        <w:rPr>
          <w:rFonts w:hAnsi="宋体"/>
          <w:sz w:val="24"/>
        </w:rPr>
        <w:t>以中频</w:t>
      </w:r>
      <w:r>
        <w:rPr>
          <w:rFonts w:hint="eastAsia" w:hAnsi="宋体"/>
          <w:sz w:val="24"/>
        </w:rPr>
        <w:t>10</w:t>
      </w:r>
      <w:r>
        <w:rPr>
          <w:sz w:val="24"/>
        </w:rPr>
        <w:t>00Hz</w:t>
      </w:r>
      <w:r>
        <w:rPr>
          <w:rFonts w:hAnsi="宋体"/>
          <w:sz w:val="24"/>
        </w:rPr>
        <w:t>测量点为例分析</w:t>
      </w:r>
      <w:r>
        <w:rPr>
          <w:rFonts w:hint="eastAsia" w:hAnsi="宋体"/>
          <w:sz w:val="24"/>
        </w:rPr>
        <w:t>试听室</w:t>
      </w:r>
      <w:r>
        <w:rPr>
          <w:rFonts w:hAnsi="宋体"/>
          <w:sz w:val="24"/>
        </w:rPr>
        <w:t>混响时间的测量结果不确定度。</w:t>
      </w:r>
    </w:p>
    <w:p>
      <w:pPr>
        <w:spacing w:line="300" w:lineRule="auto"/>
        <w:rPr>
          <w:b/>
          <w:bCs/>
          <w:sz w:val="24"/>
        </w:rPr>
      </w:pPr>
      <w:r>
        <w:rPr>
          <w:rFonts w:hint="eastAsia"/>
          <w:sz w:val="24"/>
        </w:rPr>
        <w:t xml:space="preserve">B.2 </w:t>
      </w:r>
      <w:r>
        <w:rPr>
          <w:rFonts w:hAnsi="宋体"/>
          <w:sz w:val="24"/>
        </w:rPr>
        <w:t>数学模型及灵敏系数：</w:t>
      </w:r>
    </w:p>
    <w:p>
      <w:pPr>
        <w:spacing w:line="300" w:lineRule="auto"/>
        <w:jc w:val="center"/>
        <w:rPr>
          <w:color w:val="000000"/>
          <w:sz w:val="24"/>
        </w:rPr>
      </w:pPr>
      <w:r>
        <w:rPr>
          <w:color w:val="000000"/>
          <w:position w:val="-12"/>
          <w:sz w:val="24"/>
        </w:rPr>
        <w:object>
          <v:shape id="_x0000_i1028" o:spt="75" type="#_x0000_t75" style="height:17.6pt;width:55.2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p>
    <w:p>
      <w:pPr>
        <w:spacing w:line="300" w:lineRule="auto"/>
        <w:ind w:firstLine="480" w:firstLineChars="200"/>
        <w:rPr>
          <w:color w:val="000000"/>
          <w:sz w:val="24"/>
        </w:rPr>
      </w:pPr>
      <w:r>
        <w:rPr>
          <w:rFonts w:hAnsi="宋体"/>
          <w:color w:val="000000"/>
          <w:sz w:val="24"/>
        </w:rPr>
        <w:t>式中：</w:t>
      </w:r>
      <w:r>
        <w:rPr>
          <w:i/>
          <w:color w:val="000000"/>
          <w:sz w:val="24"/>
        </w:rPr>
        <w:t>T</w:t>
      </w:r>
      <w:r>
        <w:rPr>
          <w:color w:val="000000"/>
          <w:sz w:val="24"/>
          <w:vertAlign w:val="subscript"/>
        </w:rPr>
        <w:t>60</w:t>
      </w:r>
      <w:r>
        <w:rPr>
          <w:color w:val="000000"/>
          <w:sz w:val="24"/>
        </w:rPr>
        <w:t>——</w:t>
      </w:r>
      <w:r>
        <w:rPr>
          <w:rFonts w:hint="eastAsia" w:hAnsi="宋体"/>
          <w:color w:val="000000"/>
          <w:sz w:val="24"/>
        </w:rPr>
        <w:t>试听室</w:t>
      </w:r>
      <w:r>
        <w:rPr>
          <w:rFonts w:hAnsi="宋体"/>
          <w:color w:val="000000"/>
          <w:sz w:val="24"/>
        </w:rPr>
        <w:t>混响时间测量结果，</w:t>
      </w:r>
      <w:r>
        <w:rPr>
          <w:color w:val="000000"/>
          <w:sz w:val="24"/>
        </w:rPr>
        <w:t>s</w:t>
      </w:r>
    </w:p>
    <w:p>
      <w:pPr>
        <w:spacing w:line="300" w:lineRule="auto"/>
        <w:ind w:firstLine="1200" w:firstLineChars="500"/>
        <w:rPr>
          <w:color w:val="000000"/>
          <w:sz w:val="24"/>
        </w:rPr>
      </w:pPr>
      <w:r>
        <w:rPr>
          <w:i/>
          <w:color w:val="000000"/>
          <w:sz w:val="24"/>
        </w:rPr>
        <w:t>T</w:t>
      </w:r>
      <w:r>
        <w:rPr>
          <w:color w:val="000000"/>
          <w:sz w:val="24"/>
        </w:rPr>
        <w:t>——</w:t>
      </w:r>
      <w:r>
        <w:rPr>
          <w:rFonts w:hint="eastAsia" w:hAnsi="宋体"/>
          <w:color w:val="000000"/>
          <w:sz w:val="24"/>
        </w:rPr>
        <w:t>试听室</w:t>
      </w:r>
      <w:r>
        <w:rPr>
          <w:rFonts w:hAnsi="宋体"/>
          <w:color w:val="000000"/>
          <w:sz w:val="24"/>
        </w:rPr>
        <w:t>理论混响时间，</w:t>
      </w:r>
      <w:r>
        <w:rPr>
          <w:color w:val="000000"/>
          <w:sz w:val="24"/>
        </w:rPr>
        <w:t>s</w:t>
      </w:r>
    </w:p>
    <w:p>
      <w:pPr>
        <w:spacing w:line="300" w:lineRule="auto"/>
        <w:rPr>
          <w:color w:val="000000"/>
          <w:sz w:val="24"/>
        </w:rPr>
      </w:pPr>
      <w:r>
        <w:rPr>
          <w:i/>
          <w:color w:val="000000"/>
          <w:sz w:val="24"/>
        </w:rPr>
        <w:t>δ</w:t>
      </w:r>
      <w:r>
        <w:rPr>
          <w:color w:val="000000"/>
          <w:sz w:val="24"/>
        </w:rPr>
        <w:t>——</w:t>
      </w:r>
      <w:r>
        <w:rPr>
          <w:rFonts w:hAnsi="宋体"/>
          <w:color w:val="000000"/>
          <w:sz w:val="24"/>
        </w:rPr>
        <w:t>测量误差，</w:t>
      </w:r>
      <w:r>
        <w:rPr>
          <w:color w:val="000000"/>
          <w:sz w:val="24"/>
        </w:rPr>
        <w:t>s</w:t>
      </w:r>
    </w:p>
    <w:p>
      <w:pPr>
        <w:spacing w:line="300" w:lineRule="auto"/>
        <w:ind w:firstLine="240" w:firstLineChars="100"/>
        <w:rPr>
          <w:color w:val="000000"/>
          <w:sz w:val="24"/>
        </w:rPr>
      </w:pPr>
      <w:r>
        <w:rPr>
          <w:rFonts w:hAnsi="宋体"/>
          <w:color w:val="000000"/>
          <w:sz w:val="24"/>
        </w:rPr>
        <w:t>由于</w:t>
      </w:r>
      <w:r>
        <w:rPr>
          <w:color w:val="000000"/>
          <w:position w:val="-10"/>
          <w:sz w:val="24"/>
        </w:rPr>
        <w:object>
          <v:shape id="_x0000_i1029" o:spt="75" type="#_x0000_t75" style="height:16.75pt;width:37.6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Ansi="宋体"/>
          <w:color w:val="000000"/>
          <w:sz w:val="24"/>
        </w:rPr>
        <w:t>中的</w:t>
      </w:r>
      <w:r>
        <w:rPr>
          <w:i/>
          <w:iCs/>
          <w:color w:val="000000"/>
          <w:sz w:val="24"/>
        </w:rPr>
        <w:t>δ</w:t>
      </w:r>
      <w:r>
        <w:rPr>
          <w:rFonts w:hAnsi="宋体"/>
          <w:color w:val="000000"/>
          <w:sz w:val="24"/>
        </w:rPr>
        <w:t>、</w:t>
      </w:r>
      <w:r>
        <w:rPr>
          <w:i/>
          <w:iCs/>
          <w:color w:val="000000"/>
          <w:sz w:val="24"/>
        </w:rPr>
        <w:t>T</w:t>
      </w:r>
      <w:r>
        <w:rPr>
          <w:rFonts w:hAnsi="宋体"/>
          <w:color w:val="000000"/>
          <w:sz w:val="24"/>
        </w:rPr>
        <w:t>相互独立，所以方差为</w:t>
      </w:r>
    </w:p>
    <w:p>
      <w:pPr>
        <w:spacing w:line="300" w:lineRule="auto"/>
        <w:jc w:val="center"/>
        <w:rPr>
          <w:color w:val="000000"/>
          <w:sz w:val="24"/>
        </w:rPr>
      </w:pPr>
      <w:r>
        <w:rPr>
          <w:color w:val="000000"/>
          <w:position w:val="-12"/>
          <w:sz w:val="24"/>
        </w:rPr>
        <w:object>
          <v:shape id="_x0000_i1030" o:spt="75" type="#_x0000_t75" style="height:19.25pt;width:134.8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p>
    <w:p>
      <w:pPr>
        <w:spacing w:line="300" w:lineRule="auto"/>
        <w:ind w:firstLine="240" w:firstLineChars="100"/>
        <w:rPr>
          <w:color w:val="000000"/>
          <w:sz w:val="24"/>
        </w:rPr>
      </w:pPr>
      <w:r>
        <w:rPr>
          <w:rFonts w:hAnsi="宋体"/>
          <w:color w:val="000000"/>
          <w:sz w:val="24"/>
        </w:rPr>
        <w:t>式中灵敏系数为</w:t>
      </w:r>
    </w:p>
    <w:p>
      <w:pPr>
        <w:spacing w:line="300" w:lineRule="auto"/>
        <w:jc w:val="center"/>
        <w:rPr>
          <w:color w:val="000000"/>
          <w:sz w:val="24"/>
        </w:rPr>
      </w:pPr>
      <w:r>
        <w:rPr>
          <w:color w:val="000000"/>
          <w:position w:val="-28"/>
          <w:sz w:val="24"/>
        </w:rPr>
        <w:object>
          <v:shape id="_x0000_i1031" o:spt="75" type="#_x0000_t75" style="height:33.5pt;width:63.6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p>
    <w:p>
      <w:pPr>
        <w:spacing w:line="300" w:lineRule="auto"/>
        <w:jc w:val="center"/>
        <w:rPr>
          <w:color w:val="000000"/>
          <w:sz w:val="24"/>
        </w:rPr>
      </w:pPr>
      <w:r>
        <w:rPr>
          <w:color w:val="000000"/>
          <w:position w:val="-28"/>
          <w:sz w:val="24"/>
        </w:rPr>
        <w:object>
          <v:shape id="_x0000_i1032" o:spt="75" type="#_x0000_t75" style="height:33.5pt;width:65.3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p>
    <w:p>
      <w:pPr>
        <w:spacing w:line="300" w:lineRule="auto"/>
        <w:rPr>
          <w:color w:val="000000"/>
          <w:sz w:val="24"/>
        </w:rPr>
      </w:pPr>
      <w:r>
        <w:rPr>
          <w:rFonts w:hint="eastAsia"/>
          <w:sz w:val="24"/>
        </w:rPr>
        <w:t xml:space="preserve">B.3  </w:t>
      </w:r>
      <w:r>
        <w:rPr>
          <w:color w:val="000000"/>
          <w:sz w:val="24"/>
        </w:rPr>
        <w:t>A</w:t>
      </w:r>
      <w:r>
        <w:rPr>
          <w:rFonts w:hAnsi="宋体"/>
          <w:color w:val="000000"/>
          <w:sz w:val="24"/>
        </w:rPr>
        <w:t>类标准不确定度的评定</w:t>
      </w:r>
    </w:p>
    <w:p>
      <w:pPr>
        <w:spacing w:line="300" w:lineRule="auto"/>
        <w:ind w:firstLine="480" w:firstLineChars="200"/>
        <w:rPr>
          <w:color w:val="000000"/>
          <w:sz w:val="24"/>
        </w:rPr>
      </w:pPr>
      <w:r>
        <w:rPr>
          <w:rFonts w:hAnsi="宋体"/>
          <w:color w:val="000000"/>
          <w:sz w:val="24"/>
        </w:rPr>
        <w:t>在相同测量条件下，对同一</w:t>
      </w:r>
      <w:r>
        <w:rPr>
          <w:rFonts w:hint="eastAsia" w:hAnsi="宋体"/>
          <w:color w:val="000000"/>
          <w:sz w:val="24"/>
        </w:rPr>
        <w:t>试听室</w:t>
      </w:r>
      <w:r>
        <w:rPr>
          <w:rFonts w:hAnsi="宋体"/>
          <w:color w:val="000000"/>
          <w:sz w:val="24"/>
        </w:rPr>
        <w:t>独立测量</w:t>
      </w:r>
      <w:r>
        <w:rPr>
          <w:color w:val="000000"/>
          <w:sz w:val="24"/>
        </w:rPr>
        <w:t>10</w:t>
      </w:r>
      <w:r>
        <w:rPr>
          <w:rFonts w:hAnsi="宋体"/>
          <w:color w:val="000000"/>
          <w:sz w:val="24"/>
        </w:rPr>
        <w:t>次，计算标准差得到测量数据见表</w:t>
      </w:r>
      <w:r>
        <w:rPr>
          <w:rFonts w:hint="eastAsia" w:hAnsi="宋体"/>
          <w:color w:val="000000"/>
          <w:sz w:val="24"/>
        </w:rPr>
        <w:t>B.</w:t>
      </w:r>
      <w:r>
        <w:rPr>
          <w:color w:val="000000"/>
          <w:sz w:val="24"/>
        </w:rPr>
        <w:t>1</w:t>
      </w:r>
      <w:r>
        <w:rPr>
          <w:rFonts w:hint="eastAsia"/>
          <w:color w:val="000000"/>
          <w:sz w:val="24"/>
        </w:rPr>
        <w:t>。</w:t>
      </w:r>
    </w:p>
    <w:p>
      <w:pPr>
        <w:spacing w:line="300" w:lineRule="auto"/>
        <w:jc w:val="center"/>
        <w:rPr>
          <w:color w:val="000000"/>
          <w:sz w:val="24"/>
        </w:rPr>
      </w:pPr>
      <w:r>
        <w:rPr>
          <w:rFonts w:hAnsi="宋体"/>
          <w:color w:val="000000"/>
          <w:sz w:val="24"/>
        </w:rPr>
        <w:t>表</w:t>
      </w:r>
      <w:r>
        <w:rPr>
          <w:rFonts w:hint="eastAsia" w:hAnsi="宋体"/>
          <w:color w:val="000000"/>
          <w:sz w:val="24"/>
        </w:rPr>
        <w:t>B.</w:t>
      </w:r>
      <w:r>
        <w:rPr>
          <w:color w:val="000000"/>
          <w:sz w:val="24"/>
        </w:rPr>
        <w:t>1</w:t>
      </w:r>
    </w:p>
    <w:tbl>
      <w:tblPr>
        <w:tblStyle w:val="26"/>
        <w:tblW w:w="4997"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762"/>
        <w:gridCol w:w="1279"/>
        <w:gridCol w:w="1279"/>
        <w:gridCol w:w="1279"/>
        <w:gridCol w:w="1279"/>
        <w:gridCol w:w="163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51" w:type="pct"/>
            <w:tcBorders>
              <w:tl2br w:val="nil"/>
              <w:tr2bl w:val="nil"/>
            </w:tcBorders>
            <w:vAlign w:val="center"/>
          </w:tcPr>
          <w:p>
            <w:pPr>
              <w:spacing w:line="300" w:lineRule="auto"/>
              <w:jc w:val="center"/>
              <w:rPr>
                <w:color w:val="000000"/>
                <w:sz w:val="24"/>
              </w:rPr>
            </w:pPr>
            <w:r>
              <w:rPr>
                <w:rFonts w:hAnsi="宋体"/>
                <w:color w:val="000000"/>
                <w:sz w:val="24"/>
              </w:rPr>
              <w:t>测量次序</w:t>
            </w:r>
          </w:p>
        </w:tc>
        <w:tc>
          <w:tcPr>
            <w:tcW w:w="672" w:type="pct"/>
            <w:tcBorders>
              <w:tl2br w:val="nil"/>
              <w:tr2bl w:val="nil"/>
            </w:tcBorders>
            <w:vAlign w:val="center"/>
          </w:tcPr>
          <w:p>
            <w:pPr>
              <w:spacing w:line="300" w:lineRule="auto"/>
              <w:jc w:val="center"/>
              <w:rPr>
                <w:color w:val="000000"/>
                <w:sz w:val="24"/>
              </w:rPr>
            </w:pPr>
            <w:r>
              <w:rPr>
                <w:rFonts w:hAnsi="宋体"/>
                <w:color w:val="000000"/>
                <w:sz w:val="24"/>
              </w:rPr>
              <w:t>第</w:t>
            </w:r>
            <w:r>
              <w:rPr>
                <w:color w:val="000000"/>
                <w:sz w:val="24"/>
              </w:rPr>
              <w:t>1</w:t>
            </w:r>
            <w:r>
              <w:rPr>
                <w:rFonts w:hAnsi="宋体"/>
                <w:color w:val="000000"/>
                <w:sz w:val="24"/>
              </w:rPr>
              <w:t>次</w:t>
            </w:r>
          </w:p>
        </w:tc>
        <w:tc>
          <w:tcPr>
            <w:tcW w:w="672" w:type="pct"/>
            <w:tcBorders>
              <w:tl2br w:val="nil"/>
              <w:tr2bl w:val="nil"/>
            </w:tcBorders>
            <w:vAlign w:val="center"/>
          </w:tcPr>
          <w:p>
            <w:pPr>
              <w:spacing w:line="300" w:lineRule="auto"/>
              <w:jc w:val="center"/>
              <w:rPr>
                <w:color w:val="000000"/>
                <w:sz w:val="24"/>
              </w:rPr>
            </w:pPr>
            <w:r>
              <w:rPr>
                <w:rFonts w:hAnsi="宋体"/>
                <w:color w:val="000000"/>
                <w:sz w:val="24"/>
              </w:rPr>
              <w:t>第</w:t>
            </w:r>
            <w:r>
              <w:rPr>
                <w:color w:val="000000"/>
                <w:sz w:val="24"/>
              </w:rPr>
              <w:t>2</w:t>
            </w:r>
            <w:r>
              <w:rPr>
                <w:rFonts w:hAnsi="宋体"/>
                <w:color w:val="000000"/>
                <w:sz w:val="24"/>
              </w:rPr>
              <w:t>次</w:t>
            </w:r>
          </w:p>
        </w:tc>
        <w:tc>
          <w:tcPr>
            <w:tcW w:w="672" w:type="pct"/>
            <w:tcBorders>
              <w:tl2br w:val="nil"/>
              <w:tr2bl w:val="nil"/>
            </w:tcBorders>
            <w:vAlign w:val="center"/>
          </w:tcPr>
          <w:p>
            <w:pPr>
              <w:spacing w:line="300" w:lineRule="auto"/>
              <w:jc w:val="center"/>
              <w:rPr>
                <w:color w:val="000000"/>
                <w:sz w:val="24"/>
              </w:rPr>
            </w:pPr>
            <w:r>
              <w:rPr>
                <w:rFonts w:hAnsi="宋体"/>
                <w:color w:val="000000"/>
                <w:sz w:val="24"/>
              </w:rPr>
              <w:t>第</w:t>
            </w:r>
            <w:r>
              <w:rPr>
                <w:color w:val="000000"/>
                <w:sz w:val="24"/>
              </w:rPr>
              <w:t>3</w:t>
            </w:r>
            <w:r>
              <w:rPr>
                <w:rFonts w:hAnsi="宋体"/>
                <w:color w:val="000000"/>
                <w:sz w:val="24"/>
              </w:rPr>
              <w:t>次</w:t>
            </w:r>
          </w:p>
        </w:tc>
        <w:tc>
          <w:tcPr>
            <w:tcW w:w="672" w:type="pct"/>
            <w:tcBorders>
              <w:tl2br w:val="nil"/>
              <w:tr2bl w:val="nil"/>
            </w:tcBorders>
            <w:vAlign w:val="center"/>
          </w:tcPr>
          <w:p>
            <w:pPr>
              <w:spacing w:line="300" w:lineRule="auto"/>
              <w:jc w:val="center"/>
              <w:rPr>
                <w:color w:val="000000"/>
                <w:sz w:val="24"/>
              </w:rPr>
            </w:pPr>
            <w:r>
              <w:rPr>
                <w:rFonts w:hAnsi="宋体"/>
                <w:color w:val="000000"/>
                <w:sz w:val="24"/>
              </w:rPr>
              <w:t>第</w:t>
            </w:r>
            <w:r>
              <w:rPr>
                <w:color w:val="000000"/>
                <w:sz w:val="24"/>
              </w:rPr>
              <w:t>4</w:t>
            </w:r>
            <w:r>
              <w:rPr>
                <w:rFonts w:hAnsi="宋体"/>
                <w:color w:val="000000"/>
                <w:sz w:val="24"/>
              </w:rPr>
              <w:t>次</w:t>
            </w:r>
          </w:p>
        </w:tc>
        <w:tc>
          <w:tcPr>
            <w:tcW w:w="856" w:type="pct"/>
            <w:tcBorders>
              <w:tl2br w:val="nil"/>
              <w:tr2bl w:val="nil"/>
            </w:tcBorders>
            <w:vAlign w:val="center"/>
          </w:tcPr>
          <w:p>
            <w:pPr>
              <w:spacing w:line="300" w:lineRule="auto"/>
              <w:jc w:val="center"/>
              <w:rPr>
                <w:color w:val="000000"/>
                <w:sz w:val="24"/>
              </w:rPr>
            </w:pPr>
            <w:r>
              <w:rPr>
                <w:rFonts w:hAnsi="宋体"/>
                <w:color w:val="000000"/>
                <w:sz w:val="24"/>
              </w:rPr>
              <w:t>第</w:t>
            </w:r>
            <w:r>
              <w:rPr>
                <w:color w:val="000000"/>
                <w:sz w:val="24"/>
              </w:rPr>
              <w:t>5</w:t>
            </w:r>
            <w:r>
              <w:rPr>
                <w:rFonts w:hAnsi="宋体"/>
                <w:color w:val="000000"/>
                <w:sz w:val="24"/>
              </w:rPr>
              <w:t>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51" w:type="pct"/>
            <w:tcBorders>
              <w:tl2br w:val="nil"/>
              <w:tr2bl w:val="nil"/>
            </w:tcBorders>
            <w:vAlign w:val="center"/>
          </w:tcPr>
          <w:p>
            <w:pPr>
              <w:spacing w:line="300" w:lineRule="auto"/>
              <w:jc w:val="center"/>
              <w:rPr>
                <w:color w:val="000000"/>
                <w:sz w:val="24"/>
              </w:rPr>
            </w:pPr>
            <w:bookmarkStart w:id="89" w:name="OLE_LINK3" w:colFirst="0" w:colLast="5"/>
            <w:bookmarkStart w:id="90" w:name="_Hlk325297292"/>
            <w:bookmarkStart w:id="91" w:name="OLE_LINK2" w:colFirst="0" w:colLast="5"/>
            <w:r>
              <w:rPr>
                <w:rFonts w:hAnsi="宋体"/>
                <w:color w:val="000000"/>
                <w:sz w:val="24"/>
              </w:rPr>
              <w:t>混响时间（</w:t>
            </w:r>
            <w:r>
              <w:rPr>
                <w:color w:val="000000"/>
                <w:sz w:val="24"/>
              </w:rPr>
              <w:t>s</w:t>
            </w:r>
            <w:r>
              <w:rPr>
                <w:rFonts w:hAnsi="宋体"/>
                <w:color w:val="000000"/>
                <w:sz w:val="24"/>
              </w:rPr>
              <w:t>）</w:t>
            </w:r>
          </w:p>
        </w:tc>
        <w:tc>
          <w:tcPr>
            <w:tcW w:w="1279" w:type="dxa"/>
            <w:tcBorders>
              <w:tl2br w:val="nil"/>
              <w:tr2bl w:val="nil"/>
            </w:tcBorders>
            <w:vAlign w:val="center"/>
          </w:tcPr>
          <w:p>
            <w:pPr>
              <w:spacing w:line="300" w:lineRule="auto"/>
              <w:jc w:val="center"/>
              <w:rPr>
                <w:sz w:val="24"/>
              </w:rPr>
            </w:pPr>
            <w:r>
              <w:rPr>
                <w:sz w:val="24"/>
              </w:rPr>
              <w:t>0.45</w:t>
            </w:r>
          </w:p>
        </w:tc>
        <w:tc>
          <w:tcPr>
            <w:tcW w:w="1279" w:type="dxa"/>
            <w:tcBorders>
              <w:tl2br w:val="nil"/>
              <w:tr2bl w:val="nil"/>
            </w:tcBorders>
            <w:vAlign w:val="center"/>
          </w:tcPr>
          <w:p>
            <w:pPr>
              <w:spacing w:line="300" w:lineRule="auto"/>
              <w:jc w:val="center"/>
              <w:rPr>
                <w:sz w:val="24"/>
              </w:rPr>
            </w:pPr>
            <w:r>
              <w:rPr>
                <w:sz w:val="24"/>
              </w:rPr>
              <w:t>0.4</w:t>
            </w:r>
            <w:r>
              <w:rPr>
                <w:rFonts w:hint="eastAsia"/>
                <w:sz w:val="24"/>
              </w:rPr>
              <w:t>0</w:t>
            </w:r>
          </w:p>
        </w:tc>
        <w:tc>
          <w:tcPr>
            <w:tcW w:w="1279" w:type="dxa"/>
            <w:tcBorders>
              <w:tl2br w:val="nil"/>
              <w:tr2bl w:val="nil"/>
            </w:tcBorders>
            <w:vAlign w:val="center"/>
          </w:tcPr>
          <w:p>
            <w:pPr>
              <w:spacing w:line="300" w:lineRule="auto"/>
              <w:jc w:val="center"/>
              <w:rPr>
                <w:sz w:val="24"/>
              </w:rPr>
            </w:pPr>
            <w:r>
              <w:rPr>
                <w:sz w:val="24"/>
              </w:rPr>
              <w:t>0.42</w:t>
            </w:r>
          </w:p>
        </w:tc>
        <w:tc>
          <w:tcPr>
            <w:tcW w:w="1279" w:type="dxa"/>
            <w:tcBorders>
              <w:tl2br w:val="nil"/>
              <w:tr2bl w:val="nil"/>
            </w:tcBorders>
            <w:vAlign w:val="center"/>
          </w:tcPr>
          <w:p>
            <w:pPr>
              <w:spacing w:line="300" w:lineRule="auto"/>
              <w:jc w:val="center"/>
              <w:rPr>
                <w:sz w:val="24"/>
              </w:rPr>
            </w:pPr>
            <w:r>
              <w:rPr>
                <w:sz w:val="24"/>
              </w:rPr>
              <w:t>0.43</w:t>
            </w:r>
          </w:p>
        </w:tc>
        <w:tc>
          <w:tcPr>
            <w:tcW w:w="1630" w:type="dxa"/>
            <w:tcBorders>
              <w:tl2br w:val="nil"/>
              <w:tr2bl w:val="nil"/>
            </w:tcBorders>
            <w:vAlign w:val="center"/>
          </w:tcPr>
          <w:p>
            <w:pPr>
              <w:spacing w:line="300" w:lineRule="auto"/>
              <w:jc w:val="center"/>
              <w:rPr>
                <w:sz w:val="24"/>
              </w:rPr>
            </w:pPr>
            <w:r>
              <w:rPr>
                <w:sz w:val="24"/>
              </w:rPr>
              <w:t>0.46</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51" w:type="pct"/>
            <w:tcBorders>
              <w:tl2br w:val="nil"/>
              <w:tr2bl w:val="nil"/>
            </w:tcBorders>
            <w:vAlign w:val="center"/>
          </w:tcPr>
          <w:p>
            <w:pPr>
              <w:spacing w:line="300" w:lineRule="auto"/>
              <w:jc w:val="center"/>
              <w:rPr>
                <w:color w:val="000000"/>
                <w:sz w:val="24"/>
              </w:rPr>
            </w:pPr>
            <w:r>
              <w:rPr>
                <w:rFonts w:hAnsi="宋体"/>
                <w:color w:val="000000"/>
                <w:sz w:val="24"/>
              </w:rPr>
              <w:t>测量次序</w:t>
            </w:r>
          </w:p>
        </w:tc>
        <w:tc>
          <w:tcPr>
            <w:tcW w:w="672" w:type="pct"/>
            <w:tcBorders>
              <w:tl2br w:val="nil"/>
              <w:tr2bl w:val="nil"/>
            </w:tcBorders>
            <w:vAlign w:val="center"/>
          </w:tcPr>
          <w:p>
            <w:pPr>
              <w:spacing w:line="300" w:lineRule="auto"/>
              <w:jc w:val="center"/>
              <w:rPr>
                <w:color w:val="000000"/>
                <w:sz w:val="24"/>
              </w:rPr>
            </w:pPr>
            <w:r>
              <w:rPr>
                <w:color w:val="000000"/>
                <w:sz w:val="24"/>
              </w:rPr>
              <w:t>第6次</w:t>
            </w:r>
          </w:p>
        </w:tc>
        <w:tc>
          <w:tcPr>
            <w:tcW w:w="672" w:type="pct"/>
            <w:tcBorders>
              <w:tl2br w:val="nil"/>
              <w:tr2bl w:val="nil"/>
            </w:tcBorders>
            <w:vAlign w:val="center"/>
          </w:tcPr>
          <w:p>
            <w:pPr>
              <w:spacing w:line="300" w:lineRule="auto"/>
              <w:jc w:val="center"/>
              <w:rPr>
                <w:color w:val="000000"/>
                <w:sz w:val="24"/>
              </w:rPr>
            </w:pPr>
            <w:r>
              <w:rPr>
                <w:color w:val="000000"/>
                <w:sz w:val="24"/>
              </w:rPr>
              <w:t>第7次</w:t>
            </w:r>
          </w:p>
        </w:tc>
        <w:tc>
          <w:tcPr>
            <w:tcW w:w="672" w:type="pct"/>
            <w:tcBorders>
              <w:tl2br w:val="nil"/>
              <w:tr2bl w:val="nil"/>
            </w:tcBorders>
            <w:vAlign w:val="center"/>
          </w:tcPr>
          <w:p>
            <w:pPr>
              <w:spacing w:line="300" w:lineRule="auto"/>
              <w:jc w:val="center"/>
              <w:rPr>
                <w:color w:val="000000"/>
                <w:sz w:val="24"/>
              </w:rPr>
            </w:pPr>
            <w:r>
              <w:rPr>
                <w:color w:val="000000"/>
                <w:sz w:val="24"/>
              </w:rPr>
              <w:t>第8次</w:t>
            </w:r>
          </w:p>
        </w:tc>
        <w:tc>
          <w:tcPr>
            <w:tcW w:w="672" w:type="pct"/>
            <w:tcBorders>
              <w:tl2br w:val="nil"/>
              <w:tr2bl w:val="nil"/>
            </w:tcBorders>
            <w:vAlign w:val="center"/>
          </w:tcPr>
          <w:p>
            <w:pPr>
              <w:spacing w:line="300" w:lineRule="auto"/>
              <w:jc w:val="center"/>
              <w:rPr>
                <w:color w:val="000000"/>
                <w:sz w:val="24"/>
              </w:rPr>
            </w:pPr>
            <w:r>
              <w:rPr>
                <w:color w:val="000000"/>
                <w:sz w:val="24"/>
              </w:rPr>
              <w:t>第9次</w:t>
            </w:r>
          </w:p>
        </w:tc>
        <w:tc>
          <w:tcPr>
            <w:tcW w:w="856" w:type="pct"/>
            <w:tcBorders>
              <w:tl2br w:val="nil"/>
              <w:tr2bl w:val="nil"/>
            </w:tcBorders>
            <w:vAlign w:val="center"/>
          </w:tcPr>
          <w:p>
            <w:pPr>
              <w:spacing w:line="300" w:lineRule="auto"/>
              <w:jc w:val="center"/>
              <w:rPr>
                <w:color w:val="000000"/>
                <w:sz w:val="24"/>
              </w:rPr>
            </w:pPr>
            <w:r>
              <w:rPr>
                <w:color w:val="000000"/>
                <w:sz w:val="24"/>
              </w:rPr>
              <w:t>第10次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51" w:type="pct"/>
            <w:tcBorders>
              <w:tl2br w:val="nil"/>
              <w:tr2bl w:val="nil"/>
            </w:tcBorders>
            <w:vAlign w:val="center"/>
          </w:tcPr>
          <w:p>
            <w:pPr>
              <w:spacing w:line="300" w:lineRule="auto"/>
              <w:jc w:val="center"/>
              <w:rPr>
                <w:color w:val="000000"/>
                <w:sz w:val="24"/>
              </w:rPr>
            </w:pPr>
            <w:r>
              <w:rPr>
                <w:rFonts w:hAnsi="宋体"/>
                <w:color w:val="000000"/>
                <w:sz w:val="24"/>
              </w:rPr>
              <w:t>混响时间（</w:t>
            </w:r>
            <w:r>
              <w:rPr>
                <w:color w:val="000000"/>
                <w:sz w:val="24"/>
              </w:rPr>
              <w:t>s</w:t>
            </w:r>
            <w:r>
              <w:rPr>
                <w:rFonts w:hAnsi="宋体"/>
                <w:color w:val="000000"/>
                <w:sz w:val="24"/>
              </w:rPr>
              <w:t>）</w:t>
            </w:r>
          </w:p>
        </w:tc>
        <w:tc>
          <w:tcPr>
            <w:tcW w:w="1279" w:type="dxa"/>
            <w:tcBorders>
              <w:tl2br w:val="nil"/>
              <w:tr2bl w:val="nil"/>
            </w:tcBorders>
            <w:vAlign w:val="center"/>
          </w:tcPr>
          <w:p>
            <w:pPr>
              <w:spacing w:line="300" w:lineRule="auto"/>
              <w:jc w:val="center"/>
              <w:rPr>
                <w:sz w:val="24"/>
              </w:rPr>
            </w:pPr>
            <w:r>
              <w:rPr>
                <w:sz w:val="24"/>
              </w:rPr>
              <w:t>0.43</w:t>
            </w:r>
          </w:p>
        </w:tc>
        <w:tc>
          <w:tcPr>
            <w:tcW w:w="1279" w:type="dxa"/>
            <w:tcBorders>
              <w:tl2br w:val="nil"/>
              <w:tr2bl w:val="nil"/>
            </w:tcBorders>
            <w:vAlign w:val="center"/>
          </w:tcPr>
          <w:p>
            <w:pPr>
              <w:spacing w:line="300" w:lineRule="auto"/>
              <w:jc w:val="center"/>
              <w:rPr>
                <w:sz w:val="24"/>
              </w:rPr>
            </w:pPr>
            <w:r>
              <w:rPr>
                <w:sz w:val="24"/>
              </w:rPr>
              <w:t>0.43</w:t>
            </w:r>
          </w:p>
        </w:tc>
        <w:tc>
          <w:tcPr>
            <w:tcW w:w="1279" w:type="dxa"/>
            <w:tcBorders>
              <w:tl2br w:val="nil"/>
              <w:tr2bl w:val="nil"/>
            </w:tcBorders>
            <w:vAlign w:val="center"/>
          </w:tcPr>
          <w:p>
            <w:pPr>
              <w:spacing w:line="300" w:lineRule="auto"/>
              <w:jc w:val="center"/>
              <w:rPr>
                <w:sz w:val="24"/>
              </w:rPr>
            </w:pPr>
            <w:r>
              <w:rPr>
                <w:sz w:val="24"/>
              </w:rPr>
              <w:t>0.4</w:t>
            </w:r>
          </w:p>
        </w:tc>
        <w:tc>
          <w:tcPr>
            <w:tcW w:w="1279" w:type="dxa"/>
            <w:tcBorders>
              <w:tl2br w:val="nil"/>
              <w:tr2bl w:val="nil"/>
            </w:tcBorders>
            <w:vAlign w:val="center"/>
          </w:tcPr>
          <w:p>
            <w:pPr>
              <w:spacing w:line="300" w:lineRule="auto"/>
              <w:jc w:val="center"/>
              <w:rPr>
                <w:sz w:val="24"/>
              </w:rPr>
            </w:pPr>
            <w:r>
              <w:rPr>
                <w:sz w:val="24"/>
              </w:rPr>
              <w:t>0.46</w:t>
            </w:r>
          </w:p>
        </w:tc>
        <w:tc>
          <w:tcPr>
            <w:tcW w:w="1630" w:type="dxa"/>
            <w:tcBorders>
              <w:tl2br w:val="nil"/>
              <w:tr2bl w:val="nil"/>
            </w:tcBorders>
            <w:vAlign w:val="center"/>
          </w:tcPr>
          <w:p>
            <w:pPr>
              <w:spacing w:line="300" w:lineRule="auto"/>
              <w:jc w:val="center"/>
              <w:rPr>
                <w:sz w:val="24"/>
              </w:rPr>
            </w:pPr>
            <w:r>
              <w:rPr>
                <w:sz w:val="24"/>
              </w:rPr>
              <w:t>0.46</w:t>
            </w:r>
          </w:p>
        </w:tc>
      </w:tr>
      <w:bookmarkEnd w:id="89"/>
      <w:bookmarkEnd w:id="90"/>
      <w:bookmarkEnd w:id="91"/>
    </w:tbl>
    <w:p>
      <w:pPr>
        <w:spacing w:line="300" w:lineRule="auto"/>
        <w:ind w:firstLine="1080"/>
        <w:rPr>
          <w:color w:val="000000"/>
          <w:sz w:val="24"/>
        </w:rPr>
      </w:pPr>
      <w:r>
        <w:rPr>
          <w:rFonts w:hAnsi="宋体"/>
          <w:color w:val="000000"/>
          <w:sz w:val="24"/>
        </w:rPr>
        <w:t>平均值</w:t>
      </w:r>
      <w:r>
        <w:rPr>
          <w:color w:val="000000"/>
          <w:sz w:val="24"/>
        </w:rPr>
        <w:t>=</w:t>
      </w:r>
      <w:r>
        <w:rPr>
          <w:rFonts w:hint="eastAsia"/>
          <w:color w:val="000000"/>
          <w:sz w:val="24"/>
        </w:rPr>
        <w:t xml:space="preserve">0.434 </w:t>
      </w:r>
      <w:r>
        <w:rPr>
          <w:color w:val="000000"/>
          <w:sz w:val="24"/>
        </w:rPr>
        <w:t>s</w:t>
      </w:r>
      <w:r>
        <w:rPr>
          <w:rFonts w:hAnsi="宋体"/>
          <w:color w:val="000000"/>
          <w:sz w:val="24"/>
        </w:rPr>
        <w:t>；标准差：</w:t>
      </w:r>
      <w:r>
        <w:rPr>
          <w:color w:val="000000"/>
          <w:position w:val="-10"/>
          <w:sz w:val="24"/>
        </w:rPr>
        <w:object>
          <v:shape id="_x0000_i1033" o:spt="75" type="#_x0000_t75" style="height:16.75pt;width:42.7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r>
        <w:rPr>
          <w:color w:val="000000"/>
          <w:sz w:val="24"/>
        </w:rPr>
        <w:t>0.</w:t>
      </w:r>
      <w:r>
        <w:rPr>
          <w:rFonts w:hint="eastAsia"/>
          <w:color w:val="000000"/>
          <w:sz w:val="24"/>
        </w:rPr>
        <w:t xml:space="preserve">023 </w:t>
      </w:r>
      <w:r>
        <w:rPr>
          <w:color w:val="000000"/>
          <w:sz w:val="24"/>
        </w:rPr>
        <w:t>s</w:t>
      </w:r>
    </w:p>
    <w:p>
      <w:pPr>
        <w:spacing w:line="300" w:lineRule="auto"/>
        <w:rPr>
          <w:sz w:val="24"/>
        </w:rPr>
      </w:pPr>
      <w:r>
        <w:rPr>
          <w:rFonts w:hint="eastAsia"/>
          <w:sz w:val="24"/>
        </w:rPr>
        <w:t xml:space="preserve">B.4  </w:t>
      </w:r>
      <w:r>
        <w:rPr>
          <w:color w:val="000000"/>
          <w:sz w:val="24"/>
        </w:rPr>
        <w:t>B</w:t>
      </w:r>
      <w:r>
        <w:rPr>
          <w:rFonts w:hAnsi="宋体"/>
          <w:color w:val="000000"/>
          <w:sz w:val="24"/>
        </w:rPr>
        <w:t>类标准不确定度评定</w:t>
      </w:r>
      <w:r>
        <w:rPr>
          <w:rFonts w:hAnsi="宋体"/>
          <w:sz w:val="24"/>
        </w:rPr>
        <w:t>：</w:t>
      </w:r>
    </w:p>
    <w:p>
      <w:pPr>
        <w:spacing w:line="300" w:lineRule="auto"/>
        <w:rPr>
          <w:bCs/>
          <w:sz w:val="24"/>
        </w:rPr>
      </w:pPr>
      <w:r>
        <w:rPr>
          <w:rFonts w:hint="eastAsia"/>
          <w:sz w:val="24"/>
        </w:rPr>
        <w:t xml:space="preserve">B.4.1  </w:t>
      </w:r>
      <w:r>
        <w:rPr>
          <w:rFonts w:hAnsi="宋体"/>
          <w:bCs/>
          <w:sz w:val="24"/>
        </w:rPr>
        <w:t>混响时间测量装置引入的标准不确定度</w:t>
      </w:r>
      <w:r>
        <w:rPr>
          <w:bCs/>
          <w:position w:val="-10"/>
          <w:sz w:val="24"/>
        </w:rPr>
        <w:object>
          <v:shape id="_x0000_i1034" o:spt="75" type="#_x0000_t75" style="height:16.75pt;width:14.25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p>
    <w:p>
      <w:pPr>
        <w:spacing w:line="300" w:lineRule="auto"/>
        <w:rPr>
          <w:bCs/>
          <w:sz w:val="24"/>
        </w:rPr>
      </w:pPr>
      <w:r>
        <w:rPr>
          <w:rFonts w:hAnsi="宋体"/>
          <w:bCs/>
          <w:sz w:val="24"/>
        </w:rPr>
        <w:t>混响时间测量装置校准后得到测量不确定度为</w:t>
      </w:r>
      <w:r>
        <w:rPr>
          <w:bCs/>
          <w:sz w:val="24"/>
        </w:rPr>
        <w:t>5%</w:t>
      </w:r>
      <w:r>
        <w:rPr>
          <w:rFonts w:hAnsi="宋体"/>
          <w:bCs/>
          <w:sz w:val="24"/>
        </w:rPr>
        <w:t>，</w:t>
      </w:r>
      <w:r>
        <w:rPr>
          <w:bCs/>
          <w:i/>
          <w:sz w:val="24"/>
        </w:rPr>
        <w:t>k</w:t>
      </w:r>
      <w:r>
        <w:rPr>
          <w:bCs/>
          <w:sz w:val="24"/>
        </w:rPr>
        <w:t>=2</w:t>
      </w:r>
      <w:r>
        <w:rPr>
          <w:rFonts w:hAnsi="宋体"/>
          <w:bCs/>
          <w:sz w:val="24"/>
        </w:rPr>
        <w:t>，本次测量平均值为</w:t>
      </w:r>
      <w:r>
        <w:rPr>
          <w:rFonts w:hint="eastAsia"/>
          <w:bCs/>
          <w:sz w:val="24"/>
        </w:rPr>
        <w:t xml:space="preserve">0.434 </w:t>
      </w:r>
      <w:r>
        <w:rPr>
          <w:bCs/>
          <w:sz w:val="24"/>
        </w:rPr>
        <w:t>s</w:t>
      </w:r>
      <w:r>
        <w:rPr>
          <w:rFonts w:hAnsi="宋体"/>
          <w:bCs/>
          <w:sz w:val="24"/>
        </w:rPr>
        <w:t>，则</w:t>
      </w:r>
    </w:p>
    <w:p>
      <w:pPr>
        <w:spacing w:line="300" w:lineRule="auto"/>
        <w:jc w:val="center"/>
        <w:rPr>
          <w:bCs/>
          <w:sz w:val="24"/>
        </w:rPr>
      </w:pPr>
      <w:r>
        <w:rPr>
          <w:bCs/>
          <w:position w:val="-10"/>
          <w:sz w:val="24"/>
        </w:rPr>
        <w:object>
          <v:shape id="_x0000_i1035" o:spt="75" type="#_x0000_t75" style="height:16.75pt;width:129.7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r>
        <w:rPr>
          <w:rFonts w:hint="eastAsia"/>
          <w:bCs/>
          <w:sz w:val="24"/>
        </w:rPr>
        <w:t>s</w:t>
      </w:r>
    </w:p>
    <w:p>
      <w:pPr>
        <w:spacing w:line="300" w:lineRule="auto"/>
        <w:rPr>
          <w:bCs/>
          <w:sz w:val="24"/>
        </w:rPr>
      </w:pPr>
      <w:r>
        <w:rPr>
          <w:rFonts w:hint="eastAsia"/>
          <w:sz w:val="24"/>
        </w:rPr>
        <w:t xml:space="preserve">B.4.2  </w:t>
      </w:r>
      <w:r>
        <w:rPr>
          <w:rFonts w:hAnsi="宋体"/>
          <w:bCs/>
          <w:sz w:val="24"/>
        </w:rPr>
        <w:t>混响时间测量时</w:t>
      </w:r>
      <w:r>
        <w:rPr>
          <w:rFonts w:hint="eastAsia" w:hAnsi="宋体"/>
          <w:bCs/>
          <w:sz w:val="24"/>
        </w:rPr>
        <w:t>工作标准</w:t>
      </w:r>
      <w:r>
        <w:rPr>
          <w:rFonts w:hAnsi="宋体"/>
          <w:bCs/>
          <w:sz w:val="24"/>
        </w:rPr>
        <w:t>传声器声压灵敏度线性误差引入的标准不确定度分量</w:t>
      </w:r>
      <w:r>
        <w:rPr>
          <w:bCs/>
          <w:position w:val="-12"/>
          <w:sz w:val="24"/>
        </w:rPr>
        <w:object>
          <v:shape id="_x0000_i1036" o:spt="75" type="#_x0000_t75" style="height:18.4pt;width:12.5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p>
    <w:p>
      <w:pPr>
        <w:spacing w:line="300" w:lineRule="auto"/>
        <w:ind w:firstLine="480" w:firstLineChars="200"/>
        <w:rPr>
          <w:bCs/>
          <w:sz w:val="24"/>
        </w:rPr>
      </w:pPr>
      <w:r>
        <w:rPr>
          <w:rFonts w:hAnsi="宋体"/>
          <w:bCs/>
          <w:sz w:val="24"/>
        </w:rPr>
        <w:t>混响时间测量装置是通过测量声压级的衰减时间来计算混响时间，本测量装置</w:t>
      </w:r>
      <w:r>
        <w:rPr>
          <w:rFonts w:hint="eastAsia" w:hAnsi="宋体"/>
          <w:bCs/>
          <w:sz w:val="24"/>
        </w:rPr>
        <w:t>工作标准</w:t>
      </w:r>
      <w:r>
        <w:rPr>
          <w:rFonts w:hAnsi="宋体"/>
          <w:bCs/>
          <w:sz w:val="24"/>
        </w:rPr>
        <w:t>传声器灵敏度线性误差优于</w:t>
      </w:r>
      <w:r>
        <w:rPr>
          <w:bCs/>
          <w:sz w:val="24"/>
        </w:rPr>
        <w:t>±0.2dB</w:t>
      </w:r>
      <w:r>
        <w:rPr>
          <w:rFonts w:hAnsi="宋体"/>
          <w:bCs/>
          <w:sz w:val="24"/>
        </w:rPr>
        <w:t>，按均匀分布，取</w:t>
      </w:r>
      <w:r>
        <w:rPr>
          <w:bCs/>
          <w:position w:val="-8"/>
          <w:sz w:val="24"/>
        </w:rPr>
        <w:object>
          <v:shape id="_x0000_i1037" o:spt="75" type="#_x0000_t75" style="height:16.75pt;width:31.8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r>
        <w:rPr>
          <w:rFonts w:hAnsi="宋体"/>
          <w:bCs/>
          <w:sz w:val="24"/>
        </w:rPr>
        <w:t>，</w:t>
      </w:r>
      <w:r>
        <w:rPr>
          <w:rFonts w:hint="eastAsia" w:hAnsi="宋体"/>
          <w:bCs/>
          <w:sz w:val="24"/>
        </w:rPr>
        <w:t>混响时间测量装置</w:t>
      </w:r>
      <w:r>
        <w:rPr>
          <w:rFonts w:hAnsi="宋体"/>
          <w:bCs/>
          <w:sz w:val="24"/>
        </w:rPr>
        <w:t>混响时间测量一般只测量（</w:t>
      </w:r>
      <w:r>
        <w:rPr>
          <w:bCs/>
          <w:sz w:val="24"/>
        </w:rPr>
        <w:t>20</w:t>
      </w:r>
      <w:r>
        <w:rPr>
          <w:rFonts w:hAnsi="宋体"/>
          <w:bCs/>
          <w:sz w:val="24"/>
        </w:rPr>
        <w:t>～</w:t>
      </w:r>
      <w:r>
        <w:rPr>
          <w:bCs/>
          <w:sz w:val="24"/>
        </w:rPr>
        <w:t>40</w:t>
      </w:r>
      <w:r>
        <w:rPr>
          <w:rFonts w:hAnsi="宋体"/>
          <w:bCs/>
          <w:sz w:val="24"/>
        </w:rPr>
        <w:t>）</w:t>
      </w:r>
      <w:r>
        <w:rPr>
          <w:bCs/>
          <w:sz w:val="24"/>
        </w:rPr>
        <w:t>dB</w:t>
      </w:r>
      <w:r>
        <w:rPr>
          <w:rFonts w:hAnsi="宋体"/>
          <w:bCs/>
          <w:sz w:val="24"/>
        </w:rPr>
        <w:t>的衰减，再推算</w:t>
      </w:r>
      <w:r>
        <w:rPr>
          <w:bCs/>
          <w:sz w:val="24"/>
        </w:rPr>
        <w:t>60dB</w:t>
      </w:r>
      <w:r>
        <w:rPr>
          <w:rFonts w:hAnsi="宋体"/>
          <w:bCs/>
          <w:sz w:val="24"/>
        </w:rPr>
        <w:t>的混响时间，显然</w:t>
      </w:r>
      <w:r>
        <w:rPr>
          <w:bCs/>
          <w:sz w:val="24"/>
        </w:rPr>
        <w:t>20dB</w:t>
      </w:r>
      <w:r>
        <w:rPr>
          <w:rFonts w:hAnsi="宋体"/>
          <w:bCs/>
          <w:sz w:val="24"/>
        </w:rPr>
        <w:t>方式推算混响时间，传声器灵敏度线性误差引入的不确定度最大，本次测量平均值为</w:t>
      </w:r>
      <w:r>
        <w:rPr>
          <w:rFonts w:hint="eastAsia"/>
          <w:bCs/>
          <w:sz w:val="24"/>
        </w:rPr>
        <w:t xml:space="preserve">0.434 </w:t>
      </w:r>
      <w:r>
        <w:rPr>
          <w:bCs/>
          <w:sz w:val="24"/>
        </w:rPr>
        <w:t>s</w:t>
      </w:r>
      <w:r>
        <w:rPr>
          <w:rFonts w:hAnsi="宋体"/>
          <w:bCs/>
          <w:sz w:val="24"/>
        </w:rPr>
        <w:t>，此分量引入混响时间的极限误差</w:t>
      </w:r>
      <w:r>
        <w:rPr>
          <w:bCs/>
          <w:sz w:val="24"/>
        </w:rPr>
        <w:t>=</w:t>
      </w:r>
      <w:r>
        <w:rPr>
          <w:rFonts w:hAnsi="宋体"/>
          <w:bCs/>
          <w:sz w:val="24"/>
        </w:rPr>
        <w:t>（</w:t>
      </w:r>
      <w:r>
        <w:rPr>
          <w:bCs/>
          <w:sz w:val="24"/>
        </w:rPr>
        <w:t>0.2/20</w:t>
      </w:r>
      <w:r>
        <w:rPr>
          <w:rFonts w:hAnsi="宋体"/>
          <w:bCs/>
          <w:sz w:val="24"/>
        </w:rPr>
        <w:t>）</w:t>
      </w:r>
      <w:r>
        <w:rPr>
          <w:bCs/>
          <w:sz w:val="24"/>
        </w:rPr>
        <w:t>×</w:t>
      </w:r>
      <w:r>
        <w:rPr>
          <w:rFonts w:hint="eastAsia"/>
          <w:bCs/>
          <w:sz w:val="24"/>
        </w:rPr>
        <w:t xml:space="preserve">0.434 </w:t>
      </w:r>
      <w:r>
        <w:rPr>
          <w:bCs/>
          <w:sz w:val="24"/>
        </w:rPr>
        <w:t>s</w:t>
      </w:r>
    </w:p>
    <w:p>
      <w:pPr>
        <w:spacing w:line="300" w:lineRule="auto"/>
        <w:ind w:firstLine="480" w:firstLineChars="200"/>
        <w:rPr>
          <w:bCs/>
          <w:sz w:val="24"/>
        </w:rPr>
      </w:pPr>
      <w:r>
        <w:rPr>
          <w:rFonts w:hAnsi="宋体"/>
          <w:bCs/>
          <w:sz w:val="24"/>
        </w:rPr>
        <w:t>所以信号突然中断后混响信号的级线性误差引入的标准不确定度分量</w:t>
      </w:r>
      <w:r>
        <w:rPr>
          <w:bCs/>
          <w:position w:val="-12"/>
          <w:sz w:val="24"/>
        </w:rPr>
        <w:object>
          <v:shape id="_x0000_i1038" o:spt="75" type="#_x0000_t75" style="height:18.4pt;width:12.5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r>
        <w:rPr>
          <w:rFonts w:hAnsi="宋体"/>
          <w:bCs/>
          <w:sz w:val="24"/>
        </w:rPr>
        <w:t>：</w:t>
      </w:r>
    </w:p>
    <w:p>
      <w:pPr>
        <w:spacing w:line="300" w:lineRule="auto"/>
        <w:ind w:firstLine="480" w:firstLineChars="200"/>
        <w:jc w:val="center"/>
        <w:rPr>
          <w:bCs/>
          <w:sz w:val="24"/>
        </w:rPr>
      </w:pPr>
      <w:r>
        <w:rPr>
          <w:bCs/>
          <w:position w:val="-12"/>
          <w:sz w:val="24"/>
        </w:rPr>
        <w:object>
          <v:shape id="_x0000_i1039" o:spt="75" type="#_x0000_t75" style="height:20.1pt;width:164.1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rFonts w:hint="eastAsia"/>
          <w:bCs/>
          <w:sz w:val="24"/>
        </w:rPr>
        <w:t>s</w:t>
      </w:r>
    </w:p>
    <w:p>
      <w:pPr>
        <w:spacing w:line="300" w:lineRule="auto"/>
        <w:rPr>
          <w:bCs/>
          <w:sz w:val="24"/>
        </w:rPr>
      </w:pPr>
      <w:r>
        <w:rPr>
          <w:rFonts w:hint="eastAsia"/>
          <w:sz w:val="24"/>
        </w:rPr>
        <w:t xml:space="preserve">B.4.3  </w:t>
      </w:r>
      <w:r>
        <w:rPr>
          <w:rFonts w:hAnsi="宋体"/>
          <w:bCs/>
          <w:sz w:val="24"/>
        </w:rPr>
        <w:t>混响时间测量装置分辨力引入的标准不确定分量</w:t>
      </w:r>
      <w:r>
        <w:rPr>
          <w:bCs/>
          <w:position w:val="-10"/>
          <w:sz w:val="24"/>
        </w:rPr>
        <w:object>
          <v:shape id="_x0000_i1040" o:spt="75" type="#_x0000_t75" style="height:16.75pt;width:14.2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p>
    <w:p>
      <w:pPr>
        <w:spacing w:line="300" w:lineRule="auto"/>
        <w:jc w:val="center"/>
        <w:rPr>
          <w:bCs/>
          <w:sz w:val="24"/>
        </w:rPr>
      </w:pPr>
      <w:r>
        <w:rPr>
          <w:bCs/>
          <w:position w:val="-10"/>
          <w:sz w:val="24"/>
        </w:rPr>
        <w:object>
          <v:shape id="_x0000_i1041" o:spt="75" type="#_x0000_t75" style="height:19.25pt;width:107.1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r>
        <w:rPr>
          <w:rFonts w:hint="eastAsia"/>
          <w:bCs/>
          <w:sz w:val="24"/>
        </w:rPr>
        <w:t>s</w:t>
      </w:r>
    </w:p>
    <w:p>
      <w:pPr>
        <w:spacing w:line="300" w:lineRule="auto"/>
        <w:rPr>
          <w:b/>
          <w:bCs/>
          <w:sz w:val="24"/>
        </w:rPr>
      </w:pPr>
      <w:r>
        <w:rPr>
          <w:rFonts w:hint="eastAsia"/>
          <w:sz w:val="24"/>
        </w:rPr>
        <w:t xml:space="preserve">B.5  </w:t>
      </w:r>
      <w:r>
        <w:rPr>
          <w:rFonts w:hAnsi="宋体"/>
          <w:sz w:val="24"/>
        </w:rPr>
        <w:t>标准不确定度分量一览表见表</w:t>
      </w:r>
      <w:r>
        <w:rPr>
          <w:rFonts w:hint="eastAsia" w:hAnsi="宋体"/>
          <w:color w:val="000000"/>
          <w:sz w:val="24"/>
        </w:rPr>
        <w:t>B.2。</w:t>
      </w:r>
    </w:p>
    <w:p>
      <w:pPr>
        <w:spacing w:line="300" w:lineRule="auto"/>
        <w:jc w:val="center"/>
        <w:rPr>
          <w:sz w:val="24"/>
        </w:rPr>
      </w:pPr>
      <w:r>
        <w:rPr>
          <w:rFonts w:hAnsi="宋体"/>
          <w:sz w:val="24"/>
        </w:rPr>
        <w:t>表</w:t>
      </w:r>
      <w:r>
        <w:rPr>
          <w:rFonts w:hint="eastAsia" w:hAnsi="宋体"/>
          <w:color w:val="000000"/>
          <w:sz w:val="24"/>
        </w:rPr>
        <w:t>B.</w:t>
      </w:r>
      <w:r>
        <w:rPr>
          <w:sz w:val="24"/>
        </w:rPr>
        <w:t>2</w:t>
      </w:r>
    </w:p>
    <w:tbl>
      <w:tblPr>
        <w:tblStyle w:val="26"/>
        <w:tblW w:w="499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86"/>
        <w:gridCol w:w="3611"/>
        <w:gridCol w:w="1404"/>
        <w:gridCol w:w="32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676" w:type="pct"/>
            <w:tcBorders>
              <w:tl2br w:val="nil"/>
              <w:tr2bl w:val="nil"/>
            </w:tcBorders>
            <w:vAlign w:val="center"/>
          </w:tcPr>
          <w:p>
            <w:pPr>
              <w:tabs>
                <w:tab w:val="left" w:pos="284"/>
                <w:tab w:val="left" w:leader="underscore" w:pos="567"/>
              </w:tabs>
              <w:spacing w:line="300" w:lineRule="auto"/>
              <w:jc w:val="center"/>
              <w:rPr>
                <w:sz w:val="24"/>
              </w:rPr>
            </w:pPr>
            <w:r>
              <w:rPr>
                <w:sz w:val="24"/>
              </w:rPr>
              <w:t>序号</w:t>
            </w:r>
          </w:p>
        </w:tc>
        <w:tc>
          <w:tcPr>
            <w:tcW w:w="1898" w:type="pct"/>
            <w:tcBorders>
              <w:tl2br w:val="nil"/>
              <w:tr2bl w:val="nil"/>
            </w:tcBorders>
            <w:vAlign w:val="center"/>
          </w:tcPr>
          <w:p>
            <w:pPr>
              <w:tabs>
                <w:tab w:val="left" w:pos="284"/>
                <w:tab w:val="left" w:leader="underscore" w:pos="567"/>
              </w:tabs>
              <w:spacing w:line="300" w:lineRule="auto"/>
              <w:jc w:val="center"/>
              <w:rPr>
                <w:sz w:val="24"/>
              </w:rPr>
            </w:pPr>
            <w:r>
              <w:rPr>
                <w:sz w:val="24"/>
              </w:rPr>
              <w:t>来 源</w:t>
            </w:r>
          </w:p>
        </w:tc>
        <w:tc>
          <w:tcPr>
            <w:tcW w:w="738" w:type="pct"/>
            <w:tcBorders>
              <w:tl2br w:val="nil"/>
              <w:tr2bl w:val="nil"/>
            </w:tcBorders>
            <w:vAlign w:val="center"/>
          </w:tcPr>
          <w:p>
            <w:pPr>
              <w:spacing w:line="300" w:lineRule="auto"/>
              <w:jc w:val="center"/>
              <w:rPr>
                <w:sz w:val="24"/>
              </w:rPr>
            </w:pPr>
            <w:r>
              <w:rPr>
                <w:sz w:val="24"/>
              </w:rPr>
              <w:t>符号</w:t>
            </w:r>
          </w:p>
        </w:tc>
        <w:tc>
          <w:tcPr>
            <w:tcW w:w="1687" w:type="pct"/>
            <w:tcBorders>
              <w:tl2br w:val="nil"/>
              <w:tr2bl w:val="nil"/>
            </w:tcBorders>
            <w:vAlign w:val="center"/>
          </w:tcPr>
          <w:p>
            <w:pPr>
              <w:spacing w:line="300" w:lineRule="auto"/>
              <w:jc w:val="center"/>
              <w:rPr>
                <w:sz w:val="24"/>
              </w:rPr>
            </w:pPr>
            <w:r>
              <w:rPr>
                <w:sz w:val="24"/>
              </w:rPr>
              <w:t>不确定度分量（</w:t>
            </w:r>
            <w:r>
              <w:rPr>
                <w:color w:val="000000"/>
                <w:sz w:val="24"/>
              </w:rPr>
              <w:t>s</w:t>
            </w:r>
            <w:r>
              <w:rPr>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676" w:type="pct"/>
            <w:tcBorders>
              <w:tl2br w:val="nil"/>
              <w:tr2bl w:val="nil"/>
            </w:tcBorders>
            <w:vAlign w:val="center"/>
          </w:tcPr>
          <w:p>
            <w:pPr>
              <w:spacing w:line="300" w:lineRule="auto"/>
              <w:jc w:val="center"/>
              <w:rPr>
                <w:sz w:val="24"/>
              </w:rPr>
            </w:pPr>
            <w:r>
              <w:rPr>
                <w:sz w:val="24"/>
              </w:rPr>
              <w:t>1</w:t>
            </w:r>
          </w:p>
        </w:tc>
        <w:tc>
          <w:tcPr>
            <w:tcW w:w="1898" w:type="pct"/>
            <w:tcBorders>
              <w:tl2br w:val="nil"/>
              <w:tr2bl w:val="nil"/>
            </w:tcBorders>
            <w:vAlign w:val="center"/>
          </w:tcPr>
          <w:p>
            <w:pPr>
              <w:spacing w:line="300" w:lineRule="auto"/>
              <w:jc w:val="center"/>
              <w:rPr>
                <w:sz w:val="24"/>
              </w:rPr>
            </w:pPr>
            <w:r>
              <w:rPr>
                <w:sz w:val="24"/>
              </w:rPr>
              <w:t>测量重复性</w:t>
            </w:r>
          </w:p>
        </w:tc>
        <w:tc>
          <w:tcPr>
            <w:tcW w:w="738" w:type="pct"/>
            <w:tcBorders>
              <w:tl2br w:val="nil"/>
              <w:tr2bl w:val="nil"/>
            </w:tcBorders>
            <w:vAlign w:val="center"/>
          </w:tcPr>
          <w:p>
            <w:pPr>
              <w:spacing w:line="300" w:lineRule="auto"/>
              <w:jc w:val="center"/>
              <w:rPr>
                <w:sz w:val="24"/>
              </w:rPr>
            </w:pPr>
            <w:r>
              <w:rPr>
                <w:color w:val="000000"/>
                <w:position w:val="-10"/>
                <w:sz w:val="24"/>
              </w:rPr>
              <w:object>
                <v:shape id="_x0000_i1042" o:spt="75" type="#_x0000_t75" style="height:20.1pt;width:12.5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p>
        </w:tc>
        <w:tc>
          <w:tcPr>
            <w:tcW w:w="1687" w:type="pct"/>
            <w:tcBorders>
              <w:tl2br w:val="nil"/>
              <w:tr2bl w:val="nil"/>
            </w:tcBorders>
            <w:vAlign w:val="center"/>
          </w:tcPr>
          <w:p>
            <w:pPr>
              <w:spacing w:line="300" w:lineRule="auto"/>
              <w:jc w:val="center"/>
              <w:rPr>
                <w:sz w:val="24"/>
              </w:rPr>
            </w:pPr>
            <w:r>
              <w:rPr>
                <w:rFonts w:hint="eastAsia"/>
                <w:sz w:val="24"/>
              </w:rPr>
              <w:t>0.023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676" w:type="pct"/>
            <w:tcBorders>
              <w:tl2br w:val="nil"/>
              <w:tr2bl w:val="nil"/>
            </w:tcBorders>
            <w:vAlign w:val="center"/>
          </w:tcPr>
          <w:p>
            <w:pPr>
              <w:spacing w:line="300" w:lineRule="auto"/>
              <w:jc w:val="center"/>
              <w:rPr>
                <w:sz w:val="24"/>
              </w:rPr>
            </w:pPr>
            <w:bookmarkStart w:id="92" w:name="OLE_LINK4" w:colFirst="3" w:colLast="3"/>
            <w:bookmarkStart w:id="93" w:name="OLE_LINK6" w:colFirst="5" w:colLast="5"/>
            <w:bookmarkStart w:id="94" w:name="OLE_LINK5" w:colFirst="4" w:colLast="4"/>
            <w:r>
              <w:rPr>
                <w:sz w:val="24"/>
              </w:rPr>
              <w:t>2</w:t>
            </w:r>
          </w:p>
        </w:tc>
        <w:tc>
          <w:tcPr>
            <w:tcW w:w="1898" w:type="pct"/>
            <w:tcBorders>
              <w:tl2br w:val="nil"/>
              <w:tr2bl w:val="nil"/>
            </w:tcBorders>
            <w:vAlign w:val="center"/>
          </w:tcPr>
          <w:p>
            <w:pPr>
              <w:spacing w:line="300" w:lineRule="auto"/>
              <w:jc w:val="center"/>
              <w:rPr>
                <w:spacing w:val="-6"/>
                <w:sz w:val="24"/>
              </w:rPr>
            </w:pPr>
            <w:r>
              <w:rPr>
                <w:rFonts w:hAnsi="宋体"/>
                <w:bCs/>
                <w:sz w:val="24"/>
              </w:rPr>
              <w:t>混响时间测量装置</w:t>
            </w:r>
          </w:p>
        </w:tc>
        <w:tc>
          <w:tcPr>
            <w:tcW w:w="738" w:type="pct"/>
            <w:tcBorders>
              <w:tl2br w:val="nil"/>
              <w:tr2bl w:val="nil"/>
            </w:tcBorders>
            <w:vAlign w:val="center"/>
          </w:tcPr>
          <w:p>
            <w:pPr>
              <w:spacing w:line="300" w:lineRule="auto"/>
              <w:jc w:val="center"/>
              <w:rPr>
                <w:sz w:val="24"/>
              </w:rPr>
            </w:pPr>
            <w:r>
              <w:rPr>
                <w:color w:val="000000"/>
                <w:position w:val="-10"/>
                <w:sz w:val="24"/>
              </w:rPr>
              <w:object>
                <v:shape id="_x0000_i1043" o:spt="75" type="#_x0000_t75" style="height:20.1pt;width:14.25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p>
        </w:tc>
        <w:tc>
          <w:tcPr>
            <w:tcW w:w="1687" w:type="pct"/>
            <w:tcBorders>
              <w:tl2br w:val="nil"/>
              <w:tr2bl w:val="nil"/>
            </w:tcBorders>
            <w:vAlign w:val="center"/>
          </w:tcPr>
          <w:p>
            <w:pPr>
              <w:spacing w:line="300" w:lineRule="auto"/>
              <w:jc w:val="center"/>
              <w:rPr>
                <w:sz w:val="24"/>
              </w:rPr>
            </w:pPr>
            <w:r>
              <w:rPr>
                <w:sz w:val="24"/>
              </w:rPr>
              <w:t>0.</w:t>
            </w:r>
            <w:r>
              <w:rPr>
                <w:rFonts w:hint="eastAsia"/>
                <w:sz w:val="24"/>
              </w:rPr>
              <w:t>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676" w:type="pct"/>
            <w:tcBorders>
              <w:tl2br w:val="nil"/>
              <w:tr2bl w:val="nil"/>
            </w:tcBorders>
            <w:vAlign w:val="center"/>
          </w:tcPr>
          <w:p>
            <w:pPr>
              <w:spacing w:line="300" w:lineRule="auto"/>
              <w:jc w:val="center"/>
              <w:rPr>
                <w:sz w:val="24"/>
              </w:rPr>
            </w:pPr>
            <w:r>
              <w:rPr>
                <w:sz w:val="24"/>
              </w:rPr>
              <w:t>3</w:t>
            </w:r>
          </w:p>
        </w:tc>
        <w:tc>
          <w:tcPr>
            <w:tcW w:w="1898" w:type="pct"/>
            <w:tcBorders>
              <w:tl2br w:val="nil"/>
              <w:tr2bl w:val="nil"/>
            </w:tcBorders>
            <w:vAlign w:val="center"/>
          </w:tcPr>
          <w:p>
            <w:pPr>
              <w:spacing w:line="300" w:lineRule="auto"/>
              <w:jc w:val="center"/>
              <w:rPr>
                <w:spacing w:val="-6"/>
                <w:sz w:val="24"/>
              </w:rPr>
            </w:pPr>
            <w:r>
              <w:rPr>
                <w:bCs/>
                <w:sz w:val="24"/>
              </w:rPr>
              <w:t>传声器声压灵敏度线性误差</w:t>
            </w:r>
          </w:p>
        </w:tc>
        <w:tc>
          <w:tcPr>
            <w:tcW w:w="738" w:type="pct"/>
            <w:tcBorders>
              <w:tl2br w:val="nil"/>
              <w:tr2bl w:val="nil"/>
            </w:tcBorders>
            <w:vAlign w:val="center"/>
          </w:tcPr>
          <w:p>
            <w:pPr>
              <w:spacing w:line="300" w:lineRule="auto"/>
              <w:jc w:val="center"/>
              <w:rPr>
                <w:color w:val="000000"/>
                <w:sz w:val="24"/>
              </w:rPr>
            </w:pPr>
            <w:r>
              <w:rPr>
                <w:color w:val="000000"/>
                <w:position w:val="-12"/>
                <w:sz w:val="24"/>
              </w:rPr>
              <w:object>
                <v:shape id="_x0000_i1044" o:spt="75" type="#_x0000_t75" style="height:20.1pt;width:13.4pt;" o:ole="t" filled="f" o:preferrelative="t" stroked="f" coordsize="21600,21600">
                  <v:path/>
                  <v:fill on="f" focussize="0,0"/>
                  <v:stroke on="f" joinstyle="miter"/>
                  <v:imagedata r:id="rId50" o:title=""/>
                  <o:lock v:ext="edit" aspectratio="t"/>
                  <w10:wrap type="none"/>
                  <w10:anchorlock/>
                </v:shape>
                <o:OLEObject Type="Embed" ProgID="Equation.3" ShapeID="_x0000_i1044" DrawAspect="Content" ObjectID="_1468075744" r:id="rId49">
                  <o:LockedField>false</o:LockedField>
                </o:OLEObject>
              </w:object>
            </w:r>
          </w:p>
        </w:tc>
        <w:tc>
          <w:tcPr>
            <w:tcW w:w="1687" w:type="pct"/>
            <w:tcBorders>
              <w:tl2br w:val="nil"/>
              <w:tr2bl w:val="nil"/>
            </w:tcBorders>
            <w:vAlign w:val="center"/>
          </w:tcPr>
          <w:p>
            <w:pPr>
              <w:spacing w:line="300" w:lineRule="auto"/>
              <w:jc w:val="center"/>
              <w:rPr>
                <w:sz w:val="24"/>
              </w:rPr>
            </w:pPr>
            <w:r>
              <w:rPr>
                <w:sz w:val="24"/>
              </w:rPr>
              <w:t>0.0</w:t>
            </w:r>
            <w:r>
              <w:rPr>
                <w:rFonts w:hint="eastAsia"/>
                <w:sz w:val="24"/>
              </w:rPr>
              <w:t>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676" w:type="pct"/>
            <w:tcBorders>
              <w:tl2br w:val="nil"/>
              <w:tr2bl w:val="nil"/>
            </w:tcBorders>
            <w:vAlign w:val="center"/>
          </w:tcPr>
          <w:p>
            <w:pPr>
              <w:spacing w:line="300" w:lineRule="auto"/>
              <w:jc w:val="center"/>
              <w:rPr>
                <w:sz w:val="24"/>
              </w:rPr>
            </w:pPr>
            <w:r>
              <w:rPr>
                <w:sz w:val="24"/>
              </w:rPr>
              <w:t>4</w:t>
            </w:r>
          </w:p>
        </w:tc>
        <w:tc>
          <w:tcPr>
            <w:tcW w:w="1898" w:type="pct"/>
            <w:tcBorders>
              <w:tl2br w:val="nil"/>
              <w:tr2bl w:val="nil"/>
            </w:tcBorders>
            <w:vAlign w:val="center"/>
          </w:tcPr>
          <w:p>
            <w:pPr>
              <w:spacing w:line="300" w:lineRule="auto"/>
              <w:jc w:val="center"/>
              <w:rPr>
                <w:spacing w:val="-6"/>
                <w:sz w:val="24"/>
              </w:rPr>
            </w:pPr>
            <w:r>
              <w:rPr>
                <w:bCs/>
                <w:sz w:val="24"/>
              </w:rPr>
              <w:t>分辨力</w:t>
            </w:r>
          </w:p>
        </w:tc>
        <w:tc>
          <w:tcPr>
            <w:tcW w:w="738" w:type="pct"/>
            <w:tcBorders>
              <w:tl2br w:val="nil"/>
              <w:tr2bl w:val="nil"/>
            </w:tcBorders>
            <w:vAlign w:val="center"/>
          </w:tcPr>
          <w:p>
            <w:pPr>
              <w:spacing w:line="300" w:lineRule="auto"/>
              <w:jc w:val="center"/>
              <w:rPr>
                <w:color w:val="000000"/>
                <w:sz w:val="24"/>
              </w:rPr>
            </w:pPr>
            <w:r>
              <w:rPr>
                <w:color w:val="000000"/>
                <w:position w:val="-10"/>
                <w:sz w:val="24"/>
              </w:rPr>
              <w:object>
                <v:shape id="_x0000_i1045" o:spt="75" type="#_x0000_t75" style="height:20.1pt;width:14.25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5" r:id="rId51">
                  <o:LockedField>false</o:LockedField>
                </o:OLEObject>
              </w:object>
            </w:r>
          </w:p>
        </w:tc>
        <w:tc>
          <w:tcPr>
            <w:tcW w:w="1687" w:type="pct"/>
            <w:tcBorders>
              <w:tl2br w:val="nil"/>
              <w:tr2bl w:val="nil"/>
            </w:tcBorders>
            <w:vAlign w:val="center"/>
          </w:tcPr>
          <w:p>
            <w:pPr>
              <w:spacing w:line="300" w:lineRule="auto"/>
              <w:jc w:val="center"/>
              <w:rPr>
                <w:sz w:val="24"/>
              </w:rPr>
            </w:pPr>
            <w:r>
              <w:rPr>
                <w:sz w:val="24"/>
              </w:rPr>
              <w:t>0.006</w:t>
            </w:r>
          </w:p>
        </w:tc>
      </w:tr>
      <w:bookmarkEnd w:id="92"/>
      <w:bookmarkEnd w:id="93"/>
      <w:bookmarkEnd w:id="94"/>
    </w:tbl>
    <w:p>
      <w:pPr>
        <w:spacing w:line="300" w:lineRule="auto"/>
        <w:rPr>
          <w:b/>
          <w:bCs/>
          <w:sz w:val="24"/>
        </w:rPr>
      </w:pPr>
      <w:r>
        <w:rPr>
          <w:rFonts w:hint="eastAsia"/>
          <w:sz w:val="24"/>
        </w:rPr>
        <w:t xml:space="preserve">B.6  </w:t>
      </w:r>
      <w:r>
        <w:rPr>
          <w:rFonts w:hAnsi="宋体"/>
          <w:sz w:val="24"/>
        </w:rPr>
        <w:t>合成标准不确定度</w:t>
      </w:r>
    </w:p>
    <w:p>
      <w:pPr>
        <w:spacing w:line="300" w:lineRule="auto"/>
        <w:ind w:firstLine="480" w:firstLineChars="200"/>
        <w:rPr>
          <w:color w:val="000000"/>
          <w:sz w:val="24"/>
        </w:rPr>
      </w:pPr>
      <w:r>
        <w:rPr>
          <w:rFonts w:hAnsi="宋体"/>
          <w:color w:val="000000"/>
          <w:sz w:val="24"/>
        </w:rPr>
        <w:t>以上分量独立无关，合成标准不确定度为</w:t>
      </w:r>
    </w:p>
    <w:p>
      <w:pPr>
        <w:spacing w:line="300" w:lineRule="auto"/>
        <w:ind w:firstLine="1080"/>
        <w:rPr>
          <w:color w:val="000000"/>
          <w:sz w:val="24"/>
        </w:rPr>
      </w:pPr>
      <w:r>
        <w:rPr>
          <w:color w:val="000000"/>
          <w:position w:val="-28"/>
          <w:sz w:val="24"/>
        </w:rPr>
        <w:object>
          <v:shape id="_x0000_i1046" o:spt="75" type="#_x0000_t75" style="height:34.35pt;width:86.25pt;" o:ole="t" filled="f" o:preferrelative="t" stroked="f" coordsize="21600,21600">
            <v:path/>
            <v:fill on="f" focussize="0,0"/>
            <v:stroke on="f" joinstyle="miter"/>
            <v:imagedata r:id="rId54" o:title=""/>
            <o:lock v:ext="edit" aspectratio="t"/>
            <w10:wrap type="none"/>
            <w10:anchorlock/>
          </v:shape>
          <o:OLEObject Type="Embed" ProgID="Equation.3" ShapeID="_x0000_i1046" DrawAspect="Content" ObjectID="_1468075746" r:id="rId53">
            <o:LockedField>false</o:LockedField>
          </o:OLEObject>
        </w:object>
      </w:r>
    </w:p>
    <w:p>
      <w:pPr>
        <w:spacing w:line="300" w:lineRule="auto"/>
        <w:ind w:firstLine="720"/>
        <w:rPr>
          <w:color w:val="000000"/>
          <w:sz w:val="24"/>
        </w:rPr>
      </w:pPr>
      <w:r>
        <w:rPr>
          <w:rFonts w:hAnsi="宋体"/>
          <w:color w:val="000000"/>
          <w:sz w:val="24"/>
        </w:rPr>
        <w:t>则</w:t>
      </w:r>
      <w:r>
        <w:rPr>
          <w:color w:val="000000"/>
          <w:position w:val="-12"/>
          <w:sz w:val="24"/>
        </w:rPr>
        <w:object>
          <v:shape id="_x0000_i1047" o:spt="75" type="#_x0000_t75" style="height:18.4pt;width:30.15pt;" o:ole="t" filled="f" o:preferrelative="t" stroked="f" coordsize="21600,21600">
            <v:path/>
            <v:fill on="f" focussize="0,0"/>
            <v:stroke on="f" joinstyle="miter"/>
            <v:imagedata r:id="rId56" o:title=""/>
            <o:lock v:ext="edit" aspectratio="t"/>
            <w10:wrap type="none"/>
            <w10:anchorlock/>
          </v:shape>
          <o:OLEObject Type="Embed" ProgID="Equation.3" ShapeID="_x0000_i1047" DrawAspect="Content" ObjectID="_1468075747" r:id="rId55">
            <o:LockedField>false</o:LockedField>
          </o:OLEObject>
        </w:object>
      </w:r>
      <w:r>
        <w:rPr>
          <w:color w:val="000000"/>
          <w:sz w:val="24"/>
        </w:rPr>
        <w:t>=0.</w:t>
      </w:r>
      <w:r>
        <w:rPr>
          <w:rFonts w:hint="eastAsia"/>
          <w:color w:val="000000"/>
          <w:sz w:val="24"/>
        </w:rPr>
        <w:t xml:space="preserve">026 </w:t>
      </w:r>
      <w:r>
        <w:rPr>
          <w:color w:val="000000"/>
          <w:sz w:val="24"/>
        </w:rPr>
        <w:t>s</w:t>
      </w:r>
    </w:p>
    <w:p>
      <w:pPr>
        <w:spacing w:line="300" w:lineRule="auto"/>
        <w:rPr>
          <w:b/>
          <w:bCs/>
          <w:color w:val="000000"/>
          <w:sz w:val="24"/>
        </w:rPr>
      </w:pPr>
      <w:r>
        <w:rPr>
          <w:rFonts w:hint="eastAsia"/>
          <w:sz w:val="24"/>
        </w:rPr>
        <w:t xml:space="preserve">B.7  </w:t>
      </w:r>
      <w:r>
        <w:rPr>
          <w:rFonts w:hAnsi="宋体"/>
          <w:color w:val="000000"/>
          <w:sz w:val="24"/>
        </w:rPr>
        <w:t>相对扩展不确定度：</w:t>
      </w:r>
    </w:p>
    <w:p>
      <w:pPr>
        <w:spacing w:line="300" w:lineRule="auto"/>
        <w:ind w:firstLine="600"/>
        <w:rPr>
          <w:sz w:val="24"/>
        </w:rPr>
      </w:pPr>
      <w:r>
        <w:rPr>
          <w:rFonts w:hAnsi="宋体"/>
          <w:sz w:val="24"/>
        </w:rPr>
        <w:t>取包含因子</w:t>
      </w:r>
      <w:r>
        <w:rPr>
          <w:i/>
          <w:sz w:val="24"/>
        </w:rPr>
        <w:t>k</w:t>
      </w:r>
      <w:r>
        <w:rPr>
          <w:sz w:val="24"/>
        </w:rPr>
        <w:t>=2</w:t>
      </w:r>
      <w:r>
        <w:rPr>
          <w:rFonts w:hAnsi="宋体"/>
          <w:sz w:val="24"/>
        </w:rPr>
        <w:t>，则</w:t>
      </w:r>
      <w:r>
        <w:rPr>
          <w:rFonts w:hint="eastAsia" w:hAnsi="宋体"/>
          <w:sz w:val="24"/>
        </w:rPr>
        <w:t>相对扩展不确定：</w:t>
      </w:r>
    </w:p>
    <w:p>
      <w:pPr>
        <w:spacing w:line="300" w:lineRule="auto"/>
        <w:ind w:firstLine="482" w:firstLineChars="200"/>
      </w:pPr>
      <w:r>
        <w:rPr>
          <w:b/>
          <w:position w:val="-24"/>
          <w:sz w:val="24"/>
        </w:rPr>
        <w:object>
          <v:shape id="_x0000_i1048" o:spt="75" type="#_x0000_t75" style="height:31pt;width:146.5pt;" o:ole="t" filled="f" o:preferrelative="t" stroked="f" coordsize="21600,21600">
            <v:path/>
            <v:fill on="f" focussize="0,0"/>
            <v:stroke on="f" joinstyle="miter"/>
            <v:imagedata r:id="rId58" o:title=""/>
            <o:lock v:ext="edit" aspectratio="t"/>
            <w10:wrap type="none"/>
            <w10:anchorlock/>
          </v:shape>
          <o:OLEObject Type="Embed" ProgID="Equation.3" ShapeID="_x0000_i1048" DrawAspect="Content" ObjectID="_1468075748" r:id="rId57">
            <o:LockedField>false</o:LockedField>
          </o:OLEObject>
        </w:object>
      </w:r>
    </w:p>
    <w:p>
      <w:pPr>
        <w:spacing w:beforeLines="50" w:afterLines="50"/>
        <w:jc w:val="center"/>
        <w:rPr>
          <w:szCs w:val="21"/>
        </w:rPr>
      </w:pPr>
      <w:r>
        <w:rPr>
          <w:szCs w:val="21"/>
        </w:rPr>
        <w:pict>
          <v:line id="直线 255" o:spid="_x0000_s2146" o:spt="20" style="position:absolute;left:0pt;margin-left:174pt;margin-top:1.65pt;height:0pt;width:120.75pt;z-index:251662336;mso-width-relative:page;mso-height-relative:page;" coordsize="21600,21600" o:gfxdata="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H8QaPUAAAA&#10;BwEAAA8AAAAAAAAAAQAgAAAAIgAAAGRycy9kb3ducmV2LnhtbFBLAQIUABQAAAAIAIdO4kCZaHdh&#10;6AEAAOEDAAAOAAAAAAAAAAEAIAAAACMBAABkcnMvZTJvRG9jLnhtbFBLBQYAAAAABgAGAFkBAAB9&#10;BQAAAAA=&#10;">
            <v:path arrowok="t"/>
            <v:fill focussize="0,0"/>
            <v:stroke weight="1.5pt"/>
            <v:imagedata o:title=""/>
            <o:lock v:ext="edit"/>
          </v:line>
        </w:pict>
      </w:r>
    </w:p>
    <w:sectPr>
      <w:pgSz w:w="11906" w:h="16838"/>
      <w:pgMar w:top="1474" w:right="113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Garamond">
    <w:panose1 w:val="02020404030301010803"/>
    <w:charset w:val="00"/>
    <w:family w:val="roman"/>
    <w:pitch w:val="default"/>
    <w:sig w:usb0="00000287" w:usb1="00000000" w:usb2="00000000" w:usb3="00000000" w:csb0="0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30"/>
      </w:rPr>
    </w:pPr>
    <w:r>
      <w:fldChar w:fldCharType="begin"/>
    </w:r>
    <w:r>
      <w:rPr>
        <w:rStyle w:val="30"/>
      </w:rPr>
      <w:instrText xml:space="preserve">PAGE  </w:instrText>
    </w:r>
    <w:r>
      <w:fldChar w:fldCharType="end"/>
    </w:r>
  </w:p>
  <w:p>
    <w:pPr>
      <w:pStyle w:val="1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30"/>
      </w:rPr>
    </w:pPr>
    <w:r>
      <w:fldChar w:fldCharType="begin"/>
    </w:r>
    <w:r>
      <w:rPr>
        <w:rStyle w:val="30"/>
      </w:rPr>
      <w:instrText xml:space="preserve">PAGE  </w:instrText>
    </w:r>
    <w:r>
      <w:fldChar w:fldCharType="separate"/>
    </w:r>
    <w:r>
      <w:rPr>
        <w:rStyle w:val="30"/>
      </w:rPr>
      <w:t>II</w:t>
    </w:r>
    <w:r>
      <w:fldChar w:fldCharType="end"/>
    </w:r>
  </w:p>
  <w:p>
    <w:pPr>
      <w:pStyle w:val="16"/>
      <w:ind w:right="360"/>
      <w:jc w:val="center"/>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outside" w:y="1"/>
      <w:rPr>
        <w:rStyle w:val="30"/>
      </w:rPr>
    </w:pPr>
    <w:r>
      <w:fldChar w:fldCharType="begin"/>
    </w:r>
    <w:r>
      <w:rPr>
        <w:rStyle w:val="30"/>
      </w:rPr>
      <w:instrText xml:space="preserve">PAGE  </w:instrText>
    </w:r>
    <w:r>
      <w:fldChar w:fldCharType="separate"/>
    </w:r>
    <w:r>
      <w:rPr>
        <w:rStyle w:val="30"/>
      </w:rPr>
      <w:t>7</w:t>
    </w:r>
    <w:r>
      <w:fldChar w:fldCharType="end"/>
    </w:r>
  </w:p>
  <w:p>
    <w:pPr>
      <w:pStyle w:val="16"/>
      <w:ind w:right="360" w:firstLine="360"/>
      <w:jc w:val="center"/>
      <w:rPr>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JJF</w:t>
    </w:r>
    <w:r>
      <w:rPr>
        <w:rFonts w:hint="eastAsia" w:ascii="黑体" w:hAnsi="黑体" w:eastAsia="黑体"/>
      </w:rPr>
      <w:t>XXXX</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rPr>
    </w:pPr>
    <w:r>
      <w:rPr>
        <w:rFonts w:hint="eastAsia" w:ascii="黑体" w:hAnsi="黑体" w:eastAsia="黑体"/>
      </w:rPr>
      <w:t>JJF XXXX—202X</w:t>
    </w:r>
  </w:p>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76473C"/>
    <w:multiLevelType w:val="multilevel"/>
    <w:tmpl w:val="C076473C"/>
    <w:lvl w:ilvl="0" w:tentative="0">
      <w:start w:val="6"/>
      <w:numFmt w:val="decimal"/>
      <w:lvlText w:val="%1"/>
      <w:lvlJc w:val="left"/>
      <w:pPr>
        <w:tabs>
          <w:tab w:val="left" w:pos="360"/>
        </w:tabs>
        <w:ind w:left="360" w:hanging="360"/>
      </w:pPr>
      <w:rPr>
        <w:rFonts w:hint="default" w:ascii="宋体" w:hAnsi="宋体" w:eastAsia="宋体" w:cs="宋体"/>
      </w:rPr>
    </w:lvl>
    <w:lvl w:ilvl="1" w:tentative="0">
      <w:start w:val="1"/>
      <w:numFmt w:val="decimal"/>
      <w:lvlText w:val="%1.%2"/>
      <w:lvlJc w:val="left"/>
      <w:pPr>
        <w:tabs>
          <w:tab w:val="left" w:pos="360"/>
        </w:tabs>
        <w:ind w:left="360" w:hanging="360"/>
      </w:pPr>
      <w:rPr>
        <w:rFonts w:hint="default" w:ascii="Times New Roman" w:hAnsi="Times New Roman" w:eastAsia="宋体" w:cs="Times New Roman"/>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E99F0D55"/>
    <w:multiLevelType w:val="multilevel"/>
    <w:tmpl w:val="E99F0D55"/>
    <w:lvl w:ilvl="0" w:tentative="0">
      <w:start w:val="7"/>
      <w:numFmt w:val="decimal"/>
      <w:lvlText w:val="%1"/>
      <w:lvlJc w:val="left"/>
      <w:pPr>
        <w:tabs>
          <w:tab w:val="left" w:pos="360"/>
        </w:tabs>
        <w:ind w:left="360" w:hanging="360"/>
      </w:pPr>
      <w:rPr>
        <w:rFonts w:hint="default" w:ascii="宋体" w:hAnsi="宋体" w:eastAsia="宋体" w:cs="宋体"/>
      </w:rPr>
    </w:lvl>
    <w:lvl w:ilvl="1" w:tentative="0">
      <w:start w:val="1"/>
      <w:numFmt w:val="decimal"/>
      <w:lvlText w:val="%1.%2"/>
      <w:lvlJc w:val="left"/>
      <w:pPr>
        <w:tabs>
          <w:tab w:val="left" w:pos="420"/>
        </w:tabs>
        <w:ind w:left="360" w:hanging="360"/>
      </w:pPr>
      <w:rPr>
        <w:rFonts w:hint="default" w:ascii="Times New Roman" w:hAnsi="Times New Roman" w:eastAsia="宋体" w:cs="Times New Roman"/>
      </w:rPr>
    </w:lvl>
    <w:lvl w:ilvl="2" w:tentative="0">
      <w:start w:val="1"/>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720"/>
        </w:tabs>
        <w:ind w:left="720" w:hanging="720"/>
      </w:pPr>
      <w:rPr>
        <w:rFonts w:hint="default" w:ascii="宋体" w:hAnsi="宋体" w:eastAsia="宋体"/>
        <w:lang w:val="de-DE"/>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0B2F434D"/>
    <w:multiLevelType w:val="multilevel"/>
    <w:tmpl w:val="0B2F434D"/>
    <w:lvl w:ilvl="0" w:tentative="0">
      <w:start w:val="7"/>
      <w:numFmt w:val="decimal"/>
      <w:lvlText w:val="%1"/>
      <w:lvlJc w:val="left"/>
      <w:pPr>
        <w:tabs>
          <w:tab w:val="left" w:pos="360"/>
        </w:tabs>
        <w:ind w:left="360" w:hanging="360"/>
      </w:pPr>
      <w:rPr>
        <w:rFonts w:hint="default" w:ascii="宋体" w:hAnsi="宋体" w:eastAsia="宋体" w:cs="宋体"/>
      </w:rPr>
    </w:lvl>
    <w:lvl w:ilvl="1" w:tentative="0">
      <w:start w:val="1"/>
      <w:numFmt w:val="decimal"/>
      <w:lvlText w:val="8.%2"/>
      <w:lvlJc w:val="left"/>
      <w:pPr>
        <w:tabs>
          <w:tab w:val="left" w:pos="420"/>
        </w:tabs>
        <w:ind w:left="360" w:hanging="360"/>
      </w:pPr>
      <w:rPr>
        <w:rFonts w:hint="default" w:ascii="Times New Roman" w:hAnsi="Times New Roman" w:eastAsia="宋体" w:cs="Times New Roman"/>
      </w:rPr>
    </w:lvl>
    <w:lvl w:ilvl="2" w:tentative="0">
      <w:start w:val="1"/>
      <w:numFmt w:val="decimal"/>
      <w:lvlText w:val="8.%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720"/>
        </w:tabs>
        <w:ind w:left="720" w:hanging="720"/>
      </w:pPr>
      <w:rPr>
        <w:rFonts w:hint="default" w:ascii="宋体" w:hAnsi="宋体" w:eastAsia="宋体"/>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0CE71CA3"/>
    <w:multiLevelType w:val="multilevel"/>
    <w:tmpl w:val="0CE71CA3"/>
    <w:lvl w:ilvl="0" w:tentative="0">
      <w:start w:val="1"/>
      <w:numFmt w:val="lowerLetter"/>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D035A1F"/>
    <w:multiLevelType w:val="multilevel"/>
    <w:tmpl w:val="0D035A1F"/>
    <w:lvl w:ilvl="0" w:tentative="0">
      <w:start w:val="1"/>
      <w:numFmt w:val="lowerLetter"/>
      <w:lvlText w:val="%1)"/>
      <w:lvlJc w:val="left"/>
      <w:pPr>
        <w:tabs>
          <w:tab w:val="left" w:pos="900"/>
        </w:tabs>
        <w:ind w:left="900" w:hanging="42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54727394"/>
    <w:multiLevelType w:val="multilevel"/>
    <w:tmpl w:val="54727394"/>
    <w:lvl w:ilvl="0" w:tentative="0">
      <w:start w:val="5"/>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ascii="Times New Roman" w:hAnsi="Times New Roman" w:eastAsia="宋体" w:cs="Times New Roman"/>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557C2AF5"/>
    <w:multiLevelType w:val="multilevel"/>
    <w:tmpl w:val="557C2AF5"/>
    <w:lvl w:ilvl="0" w:tentative="0">
      <w:start w:val="1"/>
      <w:numFmt w:val="decimal"/>
      <w:pStyle w:val="6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CEA2025"/>
    <w:multiLevelType w:val="multilevel"/>
    <w:tmpl w:val="6CEA2025"/>
    <w:lvl w:ilvl="0" w:tentative="0">
      <w:start w:val="1"/>
      <w:numFmt w:val="none"/>
      <w:pStyle w:val="60"/>
      <w:suff w:val="nothing"/>
      <w:lvlText w:val="%1"/>
      <w:lvlJc w:val="left"/>
      <w:pPr>
        <w:ind w:left="0" w:firstLine="0"/>
      </w:pPr>
      <w:rPr>
        <w:rFonts w:hint="default" w:ascii="Times New Roman" w:hAnsi="Times New Roman"/>
        <w:b/>
        <w:i w:val="0"/>
        <w:sz w:val="21"/>
      </w:rPr>
    </w:lvl>
    <w:lvl w:ilvl="1" w:tentative="0">
      <w:start w:val="1"/>
      <w:numFmt w:val="decimal"/>
      <w:pStyle w:val="46"/>
      <w:suff w:val="nothing"/>
      <w:lvlText w:val="%1%2　"/>
      <w:lvlJc w:val="left"/>
      <w:pPr>
        <w:ind w:left="0" w:firstLine="0"/>
      </w:pPr>
      <w:rPr>
        <w:rFonts w:hint="eastAsia" w:ascii="黑体" w:hAnsi="Times New Roman" w:eastAsia="黑体"/>
        <w:b w:val="0"/>
        <w:i w:val="0"/>
        <w:sz w:val="21"/>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pStyle w:val="44"/>
      <w:suff w:val="nothing"/>
      <w:lvlText w:val="%1%2.%3.%4　"/>
      <w:lvlJc w:val="left"/>
      <w:pPr>
        <w:ind w:left="0" w:firstLine="0"/>
      </w:pPr>
      <w:rPr>
        <w:rFonts w:hint="eastAsia" w:ascii="黑体" w:hAnsi="Times New Roman" w:eastAsia="黑体"/>
        <w:b w:val="0"/>
        <w:i w:val="0"/>
        <w:sz w:val="21"/>
      </w:rPr>
    </w:lvl>
    <w:lvl w:ilvl="4" w:tentative="0">
      <w:start w:val="1"/>
      <w:numFmt w:val="decimal"/>
      <w:pStyle w:val="43"/>
      <w:suff w:val="nothing"/>
      <w:lvlText w:val="%1%2.%3.%4.%5　"/>
      <w:lvlJc w:val="left"/>
      <w:pPr>
        <w:ind w:left="0" w:firstLine="0"/>
      </w:pPr>
      <w:rPr>
        <w:rFonts w:hint="eastAsia" w:ascii="黑体" w:hAnsi="Times New Roman" w:eastAsia="黑体"/>
        <w:b w:val="0"/>
        <w:i w:val="0"/>
        <w:sz w:val="21"/>
      </w:rPr>
    </w:lvl>
    <w:lvl w:ilvl="5" w:tentative="0">
      <w:start w:val="1"/>
      <w:numFmt w:val="decimal"/>
      <w:pStyle w:val="42"/>
      <w:suff w:val="nothing"/>
      <w:lvlText w:val="%1%2.%3.%4.%5.%6　"/>
      <w:lvlJc w:val="left"/>
      <w:pPr>
        <w:ind w:left="0" w:firstLine="0"/>
      </w:pPr>
      <w:rPr>
        <w:rFonts w:hint="eastAsia" w:ascii="黑体" w:hAnsi="Times New Roman" w:eastAsia="黑体"/>
        <w:b w:val="0"/>
        <w:i w:val="0"/>
        <w:sz w:val="21"/>
      </w:rPr>
    </w:lvl>
    <w:lvl w:ilvl="6" w:tentative="0">
      <w:start w:val="1"/>
      <w:numFmt w:val="decimal"/>
      <w:pStyle w:val="6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62"/>
      <w:lvlText w:val="%1注："/>
      <w:lvlJc w:val="left"/>
      <w:pPr>
        <w:tabs>
          <w:tab w:val="left" w:pos="1140"/>
        </w:tabs>
        <w:ind w:left="0" w:firstLine="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1DA0325"/>
    <w:multiLevelType w:val="multilevel"/>
    <w:tmpl w:val="71DA0325"/>
    <w:lvl w:ilvl="0" w:tentative="0">
      <w:start w:val="1"/>
      <w:numFmt w:val="decimal"/>
      <w:lvlText w:val="%1"/>
      <w:lvlJc w:val="left"/>
      <w:pPr>
        <w:tabs>
          <w:tab w:val="left" w:pos="360"/>
        </w:tabs>
        <w:ind w:left="360" w:hanging="360"/>
      </w:pPr>
      <w:rPr>
        <w:rFonts w:hint="eastAsia" w:ascii="黑体" w:eastAsia="黑体"/>
      </w:rPr>
    </w:lvl>
    <w:lvl w:ilvl="1" w:tentative="0">
      <w:start w:val="1"/>
      <w:numFmt w:val="decimal"/>
      <w:isLgl/>
      <w:lvlText w:val=".%2"/>
      <w:lvlJc w:val="left"/>
      <w:pPr>
        <w:tabs>
          <w:tab w:val="left" w:pos="540"/>
        </w:tabs>
        <w:ind w:left="540" w:hanging="540"/>
      </w:pPr>
      <w:rPr>
        <w:rFonts w:hint="eastAsia" w:ascii="宋体" w:hAnsi="宋体" w:eastAsia="宋体"/>
      </w:rPr>
    </w:lvl>
    <w:lvl w:ilvl="2" w:tentative="0">
      <w:start w:val="1"/>
      <w:numFmt w:val="decimal"/>
      <w:isLgl/>
      <w:lvlText w:val="%1.%2.%3"/>
      <w:lvlJc w:val="left"/>
      <w:pPr>
        <w:tabs>
          <w:tab w:val="left" w:pos="720"/>
        </w:tabs>
        <w:ind w:left="720" w:hanging="720"/>
      </w:pPr>
      <w:rPr>
        <w:rFonts w:hint="default" w:ascii="宋体" w:hAnsi="宋体" w:eastAsia="宋体"/>
      </w:rPr>
    </w:lvl>
    <w:lvl w:ilvl="3" w:tentative="0">
      <w:start w:val="1"/>
      <w:numFmt w:val="decimal"/>
      <w:isLgl/>
      <w:lvlText w:val="%1.%2.%3.%4"/>
      <w:lvlJc w:val="left"/>
      <w:pPr>
        <w:tabs>
          <w:tab w:val="left" w:pos="720"/>
        </w:tabs>
        <w:ind w:left="720" w:hanging="7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080"/>
        </w:tabs>
        <w:ind w:left="1080" w:hanging="108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440"/>
        </w:tabs>
        <w:ind w:left="1440" w:hanging="1440"/>
      </w:pPr>
      <w:rPr>
        <w:rFonts w:hint="default"/>
      </w:rPr>
    </w:lvl>
    <w:lvl w:ilvl="8" w:tentative="0">
      <w:start w:val="1"/>
      <w:numFmt w:val="decimal"/>
      <w:isLgl/>
      <w:lvlText w:val="%1.%2.%3.%4.%5.%6.%7.%8.%9"/>
      <w:lvlJc w:val="left"/>
      <w:pPr>
        <w:tabs>
          <w:tab w:val="left" w:pos="1800"/>
        </w:tabs>
        <w:ind w:left="1800" w:hanging="1800"/>
      </w:pPr>
      <w:rPr>
        <w:rFonts w:hint="default"/>
      </w:rPr>
    </w:lvl>
  </w:abstractNum>
  <w:abstractNum w:abstractNumId="10">
    <w:nsid w:val="7D184319"/>
    <w:multiLevelType w:val="multilevel"/>
    <w:tmpl w:val="7D184319"/>
    <w:lvl w:ilvl="0" w:tentative="0">
      <w:start w:val="3"/>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ascii="Times New Roman" w:hAnsi="Times New Roman" w:eastAsia="宋体" w:cs="Times New Roman"/>
      </w:rPr>
    </w:lvl>
    <w:lvl w:ilvl="2" w:tentative="0">
      <w:start w:val="1"/>
      <w:numFmt w:val="decimal"/>
      <w:lvlText w:val="%1.%2.%3"/>
      <w:lvlJc w:val="left"/>
      <w:pPr>
        <w:tabs>
          <w:tab w:val="left" w:pos="720"/>
        </w:tabs>
        <w:ind w:left="720" w:hanging="720"/>
      </w:pPr>
      <w:rPr>
        <w:rFonts w:hint="default" w:ascii="Times New Roman" w:hAnsi="Times New Roman" w:eastAsia="宋体" w:cs="Times New Roman"/>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7"/>
  </w:num>
  <w:num w:numId="2">
    <w:abstractNumId w:val="8"/>
  </w:num>
  <w:num w:numId="3">
    <w:abstractNumId w:val="6"/>
  </w:num>
  <w:num w:numId="4">
    <w:abstractNumId w:val="9"/>
  </w:num>
  <w:num w:numId="5">
    <w:abstractNumId w:val="10"/>
  </w:num>
  <w:num w:numId="6">
    <w:abstractNumId w:val="5"/>
  </w:num>
  <w:num w:numId="7">
    <w:abstractNumId w:val="0"/>
  </w:num>
  <w:num w:numId="8">
    <w:abstractNumId w:val="3"/>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rsids>
    <w:rsidRoot w:val="00172A27"/>
    <w:rsid w:val="00000C84"/>
    <w:rsid w:val="00001433"/>
    <w:rsid w:val="000015E4"/>
    <w:rsid w:val="0000226E"/>
    <w:rsid w:val="0000348D"/>
    <w:rsid w:val="00003FCE"/>
    <w:rsid w:val="00004451"/>
    <w:rsid w:val="000044C2"/>
    <w:rsid w:val="00005080"/>
    <w:rsid w:val="000070C1"/>
    <w:rsid w:val="00007980"/>
    <w:rsid w:val="00007FD2"/>
    <w:rsid w:val="00010CA5"/>
    <w:rsid w:val="00011497"/>
    <w:rsid w:val="00013822"/>
    <w:rsid w:val="00015627"/>
    <w:rsid w:val="00016994"/>
    <w:rsid w:val="0001712F"/>
    <w:rsid w:val="00020015"/>
    <w:rsid w:val="00023458"/>
    <w:rsid w:val="00026B3B"/>
    <w:rsid w:val="000325A5"/>
    <w:rsid w:val="000349ED"/>
    <w:rsid w:val="000354AE"/>
    <w:rsid w:val="00035D03"/>
    <w:rsid w:val="00037967"/>
    <w:rsid w:val="000400CE"/>
    <w:rsid w:val="0004111F"/>
    <w:rsid w:val="00041198"/>
    <w:rsid w:val="000413F2"/>
    <w:rsid w:val="00041AE1"/>
    <w:rsid w:val="00041B03"/>
    <w:rsid w:val="00041C9D"/>
    <w:rsid w:val="00041F6D"/>
    <w:rsid w:val="000425B0"/>
    <w:rsid w:val="00043D18"/>
    <w:rsid w:val="00044CC6"/>
    <w:rsid w:val="00044EE1"/>
    <w:rsid w:val="000461AE"/>
    <w:rsid w:val="00046DE8"/>
    <w:rsid w:val="00046E9F"/>
    <w:rsid w:val="00047FD1"/>
    <w:rsid w:val="000504D4"/>
    <w:rsid w:val="00051E5D"/>
    <w:rsid w:val="00051F10"/>
    <w:rsid w:val="00053444"/>
    <w:rsid w:val="0005386E"/>
    <w:rsid w:val="000550B1"/>
    <w:rsid w:val="000576CB"/>
    <w:rsid w:val="0005784C"/>
    <w:rsid w:val="000631C2"/>
    <w:rsid w:val="00064F1F"/>
    <w:rsid w:val="0006572B"/>
    <w:rsid w:val="000657E2"/>
    <w:rsid w:val="00066190"/>
    <w:rsid w:val="00070608"/>
    <w:rsid w:val="00070863"/>
    <w:rsid w:val="0007093B"/>
    <w:rsid w:val="00072C78"/>
    <w:rsid w:val="000730D8"/>
    <w:rsid w:val="0007374D"/>
    <w:rsid w:val="00073A5A"/>
    <w:rsid w:val="00073F88"/>
    <w:rsid w:val="00074260"/>
    <w:rsid w:val="00075526"/>
    <w:rsid w:val="00075B15"/>
    <w:rsid w:val="00080A3C"/>
    <w:rsid w:val="00080E78"/>
    <w:rsid w:val="00080F60"/>
    <w:rsid w:val="0008118A"/>
    <w:rsid w:val="00083D08"/>
    <w:rsid w:val="00084F4F"/>
    <w:rsid w:val="0008515E"/>
    <w:rsid w:val="00085AC7"/>
    <w:rsid w:val="00085CA7"/>
    <w:rsid w:val="00086796"/>
    <w:rsid w:val="000870DE"/>
    <w:rsid w:val="000907D2"/>
    <w:rsid w:val="00090ACB"/>
    <w:rsid w:val="00091DA8"/>
    <w:rsid w:val="0009268E"/>
    <w:rsid w:val="000926F8"/>
    <w:rsid w:val="00092C3B"/>
    <w:rsid w:val="000937C3"/>
    <w:rsid w:val="000954D1"/>
    <w:rsid w:val="0009573C"/>
    <w:rsid w:val="00097186"/>
    <w:rsid w:val="000977A5"/>
    <w:rsid w:val="000A0BEA"/>
    <w:rsid w:val="000A1356"/>
    <w:rsid w:val="000A16CE"/>
    <w:rsid w:val="000A468D"/>
    <w:rsid w:val="000A5A86"/>
    <w:rsid w:val="000A5E30"/>
    <w:rsid w:val="000A5F1A"/>
    <w:rsid w:val="000A6CA2"/>
    <w:rsid w:val="000B0A78"/>
    <w:rsid w:val="000B21D3"/>
    <w:rsid w:val="000B2DA1"/>
    <w:rsid w:val="000B4670"/>
    <w:rsid w:val="000B578A"/>
    <w:rsid w:val="000B6F88"/>
    <w:rsid w:val="000C082E"/>
    <w:rsid w:val="000C2508"/>
    <w:rsid w:val="000C389F"/>
    <w:rsid w:val="000C3B23"/>
    <w:rsid w:val="000C5371"/>
    <w:rsid w:val="000C657A"/>
    <w:rsid w:val="000C7CB7"/>
    <w:rsid w:val="000C7DA0"/>
    <w:rsid w:val="000D0CDF"/>
    <w:rsid w:val="000D1767"/>
    <w:rsid w:val="000D612C"/>
    <w:rsid w:val="000D7BC9"/>
    <w:rsid w:val="000E03CC"/>
    <w:rsid w:val="000E0991"/>
    <w:rsid w:val="000E10C3"/>
    <w:rsid w:val="000E10F9"/>
    <w:rsid w:val="000E11BE"/>
    <w:rsid w:val="000E1A36"/>
    <w:rsid w:val="000E502B"/>
    <w:rsid w:val="000E58AE"/>
    <w:rsid w:val="000E614A"/>
    <w:rsid w:val="000F01D2"/>
    <w:rsid w:val="000F0A87"/>
    <w:rsid w:val="000F10EF"/>
    <w:rsid w:val="000F18FB"/>
    <w:rsid w:val="000F3885"/>
    <w:rsid w:val="000F3DEC"/>
    <w:rsid w:val="000F449D"/>
    <w:rsid w:val="000F474E"/>
    <w:rsid w:val="000F4FA0"/>
    <w:rsid w:val="000F69C7"/>
    <w:rsid w:val="000F7893"/>
    <w:rsid w:val="000F7F23"/>
    <w:rsid w:val="001008CD"/>
    <w:rsid w:val="00100CA4"/>
    <w:rsid w:val="00102329"/>
    <w:rsid w:val="00102665"/>
    <w:rsid w:val="00103259"/>
    <w:rsid w:val="001038C6"/>
    <w:rsid w:val="00103B28"/>
    <w:rsid w:val="0010542C"/>
    <w:rsid w:val="001056AC"/>
    <w:rsid w:val="0010682A"/>
    <w:rsid w:val="00106E7A"/>
    <w:rsid w:val="001073C0"/>
    <w:rsid w:val="00107D1C"/>
    <w:rsid w:val="00110A30"/>
    <w:rsid w:val="00111922"/>
    <w:rsid w:val="00111B24"/>
    <w:rsid w:val="0011282A"/>
    <w:rsid w:val="00112ADD"/>
    <w:rsid w:val="0011336A"/>
    <w:rsid w:val="001135FA"/>
    <w:rsid w:val="00113732"/>
    <w:rsid w:val="00114BA8"/>
    <w:rsid w:val="001153E4"/>
    <w:rsid w:val="00116935"/>
    <w:rsid w:val="00117976"/>
    <w:rsid w:val="0012048E"/>
    <w:rsid w:val="001212E2"/>
    <w:rsid w:val="00124A4D"/>
    <w:rsid w:val="00124C5F"/>
    <w:rsid w:val="00126018"/>
    <w:rsid w:val="001267AA"/>
    <w:rsid w:val="00126956"/>
    <w:rsid w:val="00127AF0"/>
    <w:rsid w:val="00130673"/>
    <w:rsid w:val="00132340"/>
    <w:rsid w:val="00133D80"/>
    <w:rsid w:val="00133E8A"/>
    <w:rsid w:val="00135511"/>
    <w:rsid w:val="001356B9"/>
    <w:rsid w:val="00137753"/>
    <w:rsid w:val="00140DDF"/>
    <w:rsid w:val="00141FDF"/>
    <w:rsid w:val="00142135"/>
    <w:rsid w:val="001423E5"/>
    <w:rsid w:val="00143DC2"/>
    <w:rsid w:val="00146387"/>
    <w:rsid w:val="001474DD"/>
    <w:rsid w:val="001502F3"/>
    <w:rsid w:val="001503EA"/>
    <w:rsid w:val="00150C7F"/>
    <w:rsid w:val="001512A5"/>
    <w:rsid w:val="00151C2F"/>
    <w:rsid w:val="00151E37"/>
    <w:rsid w:val="001532A4"/>
    <w:rsid w:val="00153335"/>
    <w:rsid w:val="001534A3"/>
    <w:rsid w:val="00154828"/>
    <w:rsid w:val="0015498A"/>
    <w:rsid w:val="00155F9A"/>
    <w:rsid w:val="001563CE"/>
    <w:rsid w:val="00156A32"/>
    <w:rsid w:val="00156EE6"/>
    <w:rsid w:val="00161EB7"/>
    <w:rsid w:val="00162724"/>
    <w:rsid w:val="00162ACB"/>
    <w:rsid w:val="001634DE"/>
    <w:rsid w:val="00164F1D"/>
    <w:rsid w:val="001651DD"/>
    <w:rsid w:val="00165F72"/>
    <w:rsid w:val="00167670"/>
    <w:rsid w:val="0016798C"/>
    <w:rsid w:val="00167B27"/>
    <w:rsid w:val="00170265"/>
    <w:rsid w:val="00170BCA"/>
    <w:rsid w:val="00171F4F"/>
    <w:rsid w:val="0017283B"/>
    <w:rsid w:val="00172A27"/>
    <w:rsid w:val="00173586"/>
    <w:rsid w:val="00173C93"/>
    <w:rsid w:val="0017481F"/>
    <w:rsid w:val="00175165"/>
    <w:rsid w:val="0017594B"/>
    <w:rsid w:val="00176A8D"/>
    <w:rsid w:val="00176B44"/>
    <w:rsid w:val="00176B73"/>
    <w:rsid w:val="00176EBF"/>
    <w:rsid w:val="00177CAA"/>
    <w:rsid w:val="0018156C"/>
    <w:rsid w:val="00181D7C"/>
    <w:rsid w:val="00182184"/>
    <w:rsid w:val="001824B1"/>
    <w:rsid w:val="00182777"/>
    <w:rsid w:val="00182DAE"/>
    <w:rsid w:val="001837A1"/>
    <w:rsid w:val="0018408C"/>
    <w:rsid w:val="00184254"/>
    <w:rsid w:val="001847AC"/>
    <w:rsid w:val="001865DF"/>
    <w:rsid w:val="00187421"/>
    <w:rsid w:val="0019024A"/>
    <w:rsid w:val="001917E2"/>
    <w:rsid w:val="001920C4"/>
    <w:rsid w:val="001923A4"/>
    <w:rsid w:val="00192CA7"/>
    <w:rsid w:val="00193AF0"/>
    <w:rsid w:val="00193B7F"/>
    <w:rsid w:val="0019621D"/>
    <w:rsid w:val="001966F1"/>
    <w:rsid w:val="00196F03"/>
    <w:rsid w:val="0019711E"/>
    <w:rsid w:val="00197EE7"/>
    <w:rsid w:val="001A082C"/>
    <w:rsid w:val="001A1111"/>
    <w:rsid w:val="001A1761"/>
    <w:rsid w:val="001A2275"/>
    <w:rsid w:val="001A270B"/>
    <w:rsid w:val="001A3FC1"/>
    <w:rsid w:val="001A4337"/>
    <w:rsid w:val="001A4794"/>
    <w:rsid w:val="001A47B6"/>
    <w:rsid w:val="001A4BD4"/>
    <w:rsid w:val="001A50FD"/>
    <w:rsid w:val="001A5BE7"/>
    <w:rsid w:val="001A6C93"/>
    <w:rsid w:val="001A779C"/>
    <w:rsid w:val="001A7B84"/>
    <w:rsid w:val="001B07C7"/>
    <w:rsid w:val="001B2276"/>
    <w:rsid w:val="001B3F6A"/>
    <w:rsid w:val="001B5EE7"/>
    <w:rsid w:val="001B63E6"/>
    <w:rsid w:val="001B718C"/>
    <w:rsid w:val="001B78DA"/>
    <w:rsid w:val="001B7F74"/>
    <w:rsid w:val="001C21F5"/>
    <w:rsid w:val="001C4043"/>
    <w:rsid w:val="001C520E"/>
    <w:rsid w:val="001C5718"/>
    <w:rsid w:val="001C5B1F"/>
    <w:rsid w:val="001C6F73"/>
    <w:rsid w:val="001C7F53"/>
    <w:rsid w:val="001D0210"/>
    <w:rsid w:val="001D084C"/>
    <w:rsid w:val="001D0B95"/>
    <w:rsid w:val="001D13A3"/>
    <w:rsid w:val="001D1510"/>
    <w:rsid w:val="001D160D"/>
    <w:rsid w:val="001D1D84"/>
    <w:rsid w:val="001D1FD3"/>
    <w:rsid w:val="001D324E"/>
    <w:rsid w:val="001D3253"/>
    <w:rsid w:val="001D37AB"/>
    <w:rsid w:val="001D4868"/>
    <w:rsid w:val="001D57CA"/>
    <w:rsid w:val="001D61AC"/>
    <w:rsid w:val="001D63DB"/>
    <w:rsid w:val="001D67BC"/>
    <w:rsid w:val="001D6D80"/>
    <w:rsid w:val="001D7AC2"/>
    <w:rsid w:val="001E04E1"/>
    <w:rsid w:val="001E06A1"/>
    <w:rsid w:val="001E06E9"/>
    <w:rsid w:val="001E0D95"/>
    <w:rsid w:val="001E1E7E"/>
    <w:rsid w:val="001E2A11"/>
    <w:rsid w:val="001E3075"/>
    <w:rsid w:val="001E371B"/>
    <w:rsid w:val="001E4E73"/>
    <w:rsid w:val="001E65D5"/>
    <w:rsid w:val="001E665B"/>
    <w:rsid w:val="001E7BD6"/>
    <w:rsid w:val="001F07C4"/>
    <w:rsid w:val="001F0F95"/>
    <w:rsid w:val="001F1AAA"/>
    <w:rsid w:val="001F25B7"/>
    <w:rsid w:val="001F363E"/>
    <w:rsid w:val="001F514B"/>
    <w:rsid w:val="001F5AC2"/>
    <w:rsid w:val="001F5CFD"/>
    <w:rsid w:val="001F6856"/>
    <w:rsid w:val="001F6DDC"/>
    <w:rsid w:val="00202735"/>
    <w:rsid w:val="002049D5"/>
    <w:rsid w:val="00205E2B"/>
    <w:rsid w:val="002064EF"/>
    <w:rsid w:val="00206A4D"/>
    <w:rsid w:val="00206EF2"/>
    <w:rsid w:val="00207EC2"/>
    <w:rsid w:val="00207F4D"/>
    <w:rsid w:val="00210698"/>
    <w:rsid w:val="00210780"/>
    <w:rsid w:val="00210DC1"/>
    <w:rsid w:val="00211C9D"/>
    <w:rsid w:val="00211CF1"/>
    <w:rsid w:val="0021236C"/>
    <w:rsid w:val="00212977"/>
    <w:rsid w:val="00212BC1"/>
    <w:rsid w:val="00213297"/>
    <w:rsid w:val="002134C2"/>
    <w:rsid w:val="00213855"/>
    <w:rsid w:val="00213CA9"/>
    <w:rsid w:val="002143AC"/>
    <w:rsid w:val="00214864"/>
    <w:rsid w:val="00215719"/>
    <w:rsid w:val="00215789"/>
    <w:rsid w:val="00215C8B"/>
    <w:rsid w:val="00216618"/>
    <w:rsid w:val="002179A0"/>
    <w:rsid w:val="00221410"/>
    <w:rsid w:val="00221522"/>
    <w:rsid w:val="002227E8"/>
    <w:rsid w:val="00223391"/>
    <w:rsid w:val="00224411"/>
    <w:rsid w:val="002253E7"/>
    <w:rsid w:val="00225587"/>
    <w:rsid w:val="00225730"/>
    <w:rsid w:val="00230496"/>
    <w:rsid w:val="0023147F"/>
    <w:rsid w:val="0023208A"/>
    <w:rsid w:val="0023262B"/>
    <w:rsid w:val="00232CA0"/>
    <w:rsid w:val="00232E8D"/>
    <w:rsid w:val="00233E21"/>
    <w:rsid w:val="0023414E"/>
    <w:rsid w:val="00234B4B"/>
    <w:rsid w:val="00235F92"/>
    <w:rsid w:val="0023616D"/>
    <w:rsid w:val="002369D8"/>
    <w:rsid w:val="00237ACB"/>
    <w:rsid w:val="00237ECA"/>
    <w:rsid w:val="0024299A"/>
    <w:rsid w:val="00242AB8"/>
    <w:rsid w:val="0024322E"/>
    <w:rsid w:val="00243DA3"/>
    <w:rsid w:val="0024423F"/>
    <w:rsid w:val="00244721"/>
    <w:rsid w:val="00245A01"/>
    <w:rsid w:val="00245C01"/>
    <w:rsid w:val="00246673"/>
    <w:rsid w:val="00246804"/>
    <w:rsid w:val="00246847"/>
    <w:rsid w:val="00247466"/>
    <w:rsid w:val="00247FFC"/>
    <w:rsid w:val="00250747"/>
    <w:rsid w:val="0025079E"/>
    <w:rsid w:val="0025095A"/>
    <w:rsid w:val="00251AD6"/>
    <w:rsid w:val="0025219C"/>
    <w:rsid w:val="00252ED0"/>
    <w:rsid w:val="00253B0E"/>
    <w:rsid w:val="002543D3"/>
    <w:rsid w:val="0025583F"/>
    <w:rsid w:val="0025671E"/>
    <w:rsid w:val="00257F3B"/>
    <w:rsid w:val="002600DD"/>
    <w:rsid w:val="0026039D"/>
    <w:rsid w:val="00260D41"/>
    <w:rsid w:val="0026133A"/>
    <w:rsid w:val="00261473"/>
    <w:rsid w:val="00263600"/>
    <w:rsid w:val="00264D74"/>
    <w:rsid w:val="0026526E"/>
    <w:rsid w:val="0026569C"/>
    <w:rsid w:val="002663F0"/>
    <w:rsid w:val="00266A78"/>
    <w:rsid w:val="00267695"/>
    <w:rsid w:val="00267A23"/>
    <w:rsid w:val="002707BA"/>
    <w:rsid w:val="00271687"/>
    <w:rsid w:val="002718E6"/>
    <w:rsid w:val="00271B58"/>
    <w:rsid w:val="002727F2"/>
    <w:rsid w:val="00273DBE"/>
    <w:rsid w:val="0027414D"/>
    <w:rsid w:val="002750FA"/>
    <w:rsid w:val="002763A2"/>
    <w:rsid w:val="00277831"/>
    <w:rsid w:val="0027788F"/>
    <w:rsid w:val="00277C79"/>
    <w:rsid w:val="00280B97"/>
    <w:rsid w:val="0028176D"/>
    <w:rsid w:val="00281F2C"/>
    <w:rsid w:val="002830FF"/>
    <w:rsid w:val="0028371F"/>
    <w:rsid w:val="00283F6C"/>
    <w:rsid w:val="002841F9"/>
    <w:rsid w:val="002849CF"/>
    <w:rsid w:val="00285059"/>
    <w:rsid w:val="002869FB"/>
    <w:rsid w:val="002872B7"/>
    <w:rsid w:val="002876BF"/>
    <w:rsid w:val="00287FFE"/>
    <w:rsid w:val="002909D3"/>
    <w:rsid w:val="002923FA"/>
    <w:rsid w:val="00292648"/>
    <w:rsid w:val="00294047"/>
    <w:rsid w:val="00294DD1"/>
    <w:rsid w:val="0029751F"/>
    <w:rsid w:val="002A0305"/>
    <w:rsid w:val="002A03DD"/>
    <w:rsid w:val="002A076C"/>
    <w:rsid w:val="002A077C"/>
    <w:rsid w:val="002A1A0B"/>
    <w:rsid w:val="002A1F11"/>
    <w:rsid w:val="002A244C"/>
    <w:rsid w:val="002A3364"/>
    <w:rsid w:val="002A4F9B"/>
    <w:rsid w:val="002A70E2"/>
    <w:rsid w:val="002B04BC"/>
    <w:rsid w:val="002B16B0"/>
    <w:rsid w:val="002B2592"/>
    <w:rsid w:val="002B31E3"/>
    <w:rsid w:val="002B352E"/>
    <w:rsid w:val="002B37C1"/>
    <w:rsid w:val="002B4A48"/>
    <w:rsid w:val="002B50A0"/>
    <w:rsid w:val="002B673F"/>
    <w:rsid w:val="002B707B"/>
    <w:rsid w:val="002B74F3"/>
    <w:rsid w:val="002B7CA3"/>
    <w:rsid w:val="002C0D1B"/>
    <w:rsid w:val="002C148F"/>
    <w:rsid w:val="002C1C31"/>
    <w:rsid w:val="002C1F0B"/>
    <w:rsid w:val="002C23C3"/>
    <w:rsid w:val="002C317D"/>
    <w:rsid w:val="002C350D"/>
    <w:rsid w:val="002C5850"/>
    <w:rsid w:val="002C660A"/>
    <w:rsid w:val="002C6995"/>
    <w:rsid w:val="002C69E4"/>
    <w:rsid w:val="002C721F"/>
    <w:rsid w:val="002C76EB"/>
    <w:rsid w:val="002D0B2D"/>
    <w:rsid w:val="002D14EA"/>
    <w:rsid w:val="002D1DD8"/>
    <w:rsid w:val="002D20C2"/>
    <w:rsid w:val="002D35C4"/>
    <w:rsid w:val="002D3D87"/>
    <w:rsid w:val="002D48A2"/>
    <w:rsid w:val="002D4CD8"/>
    <w:rsid w:val="002D583F"/>
    <w:rsid w:val="002E037F"/>
    <w:rsid w:val="002E0419"/>
    <w:rsid w:val="002E2086"/>
    <w:rsid w:val="002E271B"/>
    <w:rsid w:val="002E2EE7"/>
    <w:rsid w:val="002E3455"/>
    <w:rsid w:val="002E3E39"/>
    <w:rsid w:val="002E3EBA"/>
    <w:rsid w:val="002E5B78"/>
    <w:rsid w:val="002E5C22"/>
    <w:rsid w:val="002E649B"/>
    <w:rsid w:val="002E6D30"/>
    <w:rsid w:val="002E7444"/>
    <w:rsid w:val="002E7F52"/>
    <w:rsid w:val="002F1620"/>
    <w:rsid w:val="002F18E7"/>
    <w:rsid w:val="002F5BD3"/>
    <w:rsid w:val="002F5E61"/>
    <w:rsid w:val="002F6179"/>
    <w:rsid w:val="002F6489"/>
    <w:rsid w:val="002F792E"/>
    <w:rsid w:val="002F79D3"/>
    <w:rsid w:val="003012E8"/>
    <w:rsid w:val="00301DF6"/>
    <w:rsid w:val="0030214B"/>
    <w:rsid w:val="003038C0"/>
    <w:rsid w:val="00303E20"/>
    <w:rsid w:val="00304627"/>
    <w:rsid w:val="00305A94"/>
    <w:rsid w:val="00306619"/>
    <w:rsid w:val="003106C3"/>
    <w:rsid w:val="0031135D"/>
    <w:rsid w:val="003128A6"/>
    <w:rsid w:val="00312924"/>
    <w:rsid w:val="00312E3A"/>
    <w:rsid w:val="003132B7"/>
    <w:rsid w:val="0031383C"/>
    <w:rsid w:val="0031509F"/>
    <w:rsid w:val="00315913"/>
    <w:rsid w:val="00315F6D"/>
    <w:rsid w:val="00316323"/>
    <w:rsid w:val="00316411"/>
    <w:rsid w:val="00317B13"/>
    <w:rsid w:val="00317B4F"/>
    <w:rsid w:val="00320FBE"/>
    <w:rsid w:val="00321040"/>
    <w:rsid w:val="00321BC4"/>
    <w:rsid w:val="003229B4"/>
    <w:rsid w:val="00324446"/>
    <w:rsid w:val="00324CD1"/>
    <w:rsid w:val="00325033"/>
    <w:rsid w:val="00325205"/>
    <w:rsid w:val="003253EB"/>
    <w:rsid w:val="0032562F"/>
    <w:rsid w:val="00326A64"/>
    <w:rsid w:val="00326AA8"/>
    <w:rsid w:val="0032743A"/>
    <w:rsid w:val="003311C7"/>
    <w:rsid w:val="00331272"/>
    <w:rsid w:val="003322CB"/>
    <w:rsid w:val="00335A26"/>
    <w:rsid w:val="00341C29"/>
    <w:rsid w:val="00341ECA"/>
    <w:rsid w:val="00342FDC"/>
    <w:rsid w:val="00344814"/>
    <w:rsid w:val="00344C05"/>
    <w:rsid w:val="00345ABA"/>
    <w:rsid w:val="00345F29"/>
    <w:rsid w:val="00345F6C"/>
    <w:rsid w:val="00346292"/>
    <w:rsid w:val="00347284"/>
    <w:rsid w:val="003507B0"/>
    <w:rsid w:val="00350D7D"/>
    <w:rsid w:val="003513DC"/>
    <w:rsid w:val="003523F9"/>
    <w:rsid w:val="0035267D"/>
    <w:rsid w:val="003529E8"/>
    <w:rsid w:val="00352FB1"/>
    <w:rsid w:val="00354D5F"/>
    <w:rsid w:val="0035527B"/>
    <w:rsid w:val="003552F1"/>
    <w:rsid w:val="00355942"/>
    <w:rsid w:val="00356001"/>
    <w:rsid w:val="00356A19"/>
    <w:rsid w:val="00357ADB"/>
    <w:rsid w:val="00357D02"/>
    <w:rsid w:val="0036050F"/>
    <w:rsid w:val="0036055D"/>
    <w:rsid w:val="00360A31"/>
    <w:rsid w:val="00361AC7"/>
    <w:rsid w:val="00361B02"/>
    <w:rsid w:val="003620F3"/>
    <w:rsid w:val="003625A5"/>
    <w:rsid w:val="00362BD3"/>
    <w:rsid w:val="00363F5C"/>
    <w:rsid w:val="00364339"/>
    <w:rsid w:val="003663B7"/>
    <w:rsid w:val="0036651D"/>
    <w:rsid w:val="00366B93"/>
    <w:rsid w:val="00366D7E"/>
    <w:rsid w:val="00367186"/>
    <w:rsid w:val="003700E0"/>
    <w:rsid w:val="00370A25"/>
    <w:rsid w:val="00371ED6"/>
    <w:rsid w:val="00372368"/>
    <w:rsid w:val="00372A5B"/>
    <w:rsid w:val="00373287"/>
    <w:rsid w:val="003735D4"/>
    <w:rsid w:val="003741C3"/>
    <w:rsid w:val="00374B1E"/>
    <w:rsid w:val="003754EE"/>
    <w:rsid w:val="00375B9B"/>
    <w:rsid w:val="00376784"/>
    <w:rsid w:val="00376906"/>
    <w:rsid w:val="00376A02"/>
    <w:rsid w:val="00376A7D"/>
    <w:rsid w:val="00376AA2"/>
    <w:rsid w:val="003772B6"/>
    <w:rsid w:val="003776EB"/>
    <w:rsid w:val="00381935"/>
    <w:rsid w:val="0038258A"/>
    <w:rsid w:val="00382F13"/>
    <w:rsid w:val="00382FED"/>
    <w:rsid w:val="003838E6"/>
    <w:rsid w:val="003843C6"/>
    <w:rsid w:val="00384E99"/>
    <w:rsid w:val="003859AE"/>
    <w:rsid w:val="00387130"/>
    <w:rsid w:val="003877A4"/>
    <w:rsid w:val="00387BC5"/>
    <w:rsid w:val="00387D5B"/>
    <w:rsid w:val="003908C8"/>
    <w:rsid w:val="0039100F"/>
    <w:rsid w:val="00391581"/>
    <w:rsid w:val="0039246E"/>
    <w:rsid w:val="00392961"/>
    <w:rsid w:val="00392CBB"/>
    <w:rsid w:val="00394471"/>
    <w:rsid w:val="003957F1"/>
    <w:rsid w:val="0039601A"/>
    <w:rsid w:val="003968FA"/>
    <w:rsid w:val="0039698D"/>
    <w:rsid w:val="0039760A"/>
    <w:rsid w:val="003979CF"/>
    <w:rsid w:val="00397B2C"/>
    <w:rsid w:val="00397F1F"/>
    <w:rsid w:val="003A10D3"/>
    <w:rsid w:val="003A1211"/>
    <w:rsid w:val="003A1475"/>
    <w:rsid w:val="003A2258"/>
    <w:rsid w:val="003A2A2C"/>
    <w:rsid w:val="003A2B57"/>
    <w:rsid w:val="003A2B72"/>
    <w:rsid w:val="003A2F85"/>
    <w:rsid w:val="003A3C5F"/>
    <w:rsid w:val="003A3F35"/>
    <w:rsid w:val="003A65FB"/>
    <w:rsid w:val="003A66A7"/>
    <w:rsid w:val="003A66D1"/>
    <w:rsid w:val="003B2478"/>
    <w:rsid w:val="003B2479"/>
    <w:rsid w:val="003B373E"/>
    <w:rsid w:val="003B3A73"/>
    <w:rsid w:val="003B42C6"/>
    <w:rsid w:val="003B5433"/>
    <w:rsid w:val="003B54C8"/>
    <w:rsid w:val="003B64D9"/>
    <w:rsid w:val="003B76E7"/>
    <w:rsid w:val="003C0318"/>
    <w:rsid w:val="003C150D"/>
    <w:rsid w:val="003C1859"/>
    <w:rsid w:val="003C754E"/>
    <w:rsid w:val="003C778A"/>
    <w:rsid w:val="003D2BA5"/>
    <w:rsid w:val="003D4584"/>
    <w:rsid w:val="003D4C34"/>
    <w:rsid w:val="003D6ADA"/>
    <w:rsid w:val="003D7243"/>
    <w:rsid w:val="003E01E3"/>
    <w:rsid w:val="003E0E68"/>
    <w:rsid w:val="003E1A64"/>
    <w:rsid w:val="003E1C62"/>
    <w:rsid w:val="003E23C2"/>
    <w:rsid w:val="003E461F"/>
    <w:rsid w:val="003E46FD"/>
    <w:rsid w:val="003E515D"/>
    <w:rsid w:val="003E61EF"/>
    <w:rsid w:val="003E69EA"/>
    <w:rsid w:val="003E6FC2"/>
    <w:rsid w:val="003E7E65"/>
    <w:rsid w:val="003F0EE2"/>
    <w:rsid w:val="003F1853"/>
    <w:rsid w:val="003F263B"/>
    <w:rsid w:val="003F2AEC"/>
    <w:rsid w:val="003F30D2"/>
    <w:rsid w:val="003F4CAC"/>
    <w:rsid w:val="003F6B9B"/>
    <w:rsid w:val="003F7188"/>
    <w:rsid w:val="003F75F0"/>
    <w:rsid w:val="003F7A20"/>
    <w:rsid w:val="00400A58"/>
    <w:rsid w:val="0040190E"/>
    <w:rsid w:val="00403EFD"/>
    <w:rsid w:val="00404067"/>
    <w:rsid w:val="00404519"/>
    <w:rsid w:val="004048FF"/>
    <w:rsid w:val="00405795"/>
    <w:rsid w:val="004057CF"/>
    <w:rsid w:val="00406D01"/>
    <w:rsid w:val="004073BE"/>
    <w:rsid w:val="0040752E"/>
    <w:rsid w:val="00407C47"/>
    <w:rsid w:val="00410E4E"/>
    <w:rsid w:val="0041498A"/>
    <w:rsid w:val="00414FB0"/>
    <w:rsid w:val="0041527B"/>
    <w:rsid w:val="00415C53"/>
    <w:rsid w:val="0041639B"/>
    <w:rsid w:val="00416E18"/>
    <w:rsid w:val="00423A3B"/>
    <w:rsid w:val="004248E5"/>
    <w:rsid w:val="00424A83"/>
    <w:rsid w:val="0042554A"/>
    <w:rsid w:val="00427275"/>
    <w:rsid w:val="00427979"/>
    <w:rsid w:val="00431C66"/>
    <w:rsid w:val="00431DF0"/>
    <w:rsid w:val="00431EF9"/>
    <w:rsid w:val="0043227D"/>
    <w:rsid w:val="004322E4"/>
    <w:rsid w:val="00432408"/>
    <w:rsid w:val="00432678"/>
    <w:rsid w:val="00433266"/>
    <w:rsid w:val="004336CC"/>
    <w:rsid w:val="00433B6B"/>
    <w:rsid w:val="004340F0"/>
    <w:rsid w:val="00435737"/>
    <w:rsid w:val="00436651"/>
    <w:rsid w:val="00436F20"/>
    <w:rsid w:val="004407EB"/>
    <w:rsid w:val="00440B3E"/>
    <w:rsid w:val="00440D3F"/>
    <w:rsid w:val="00441109"/>
    <w:rsid w:val="004428A2"/>
    <w:rsid w:val="00442F69"/>
    <w:rsid w:val="004432B1"/>
    <w:rsid w:val="004438F0"/>
    <w:rsid w:val="004448A8"/>
    <w:rsid w:val="00445CD4"/>
    <w:rsid w:val="00446030"/>
    <w:rsid w:val="00446712"/>
    <w:rsid w:val="00446F39"/>
    <w:rsid w:val="0044704C"/>
    <w:rsid w:val="0044765C"/>
    <w:rsid w:val="00447E7D"/>
    <w:rsid w:val="00450673"/>
    <w:rsid w:val="00451647"/>
    <w:rsid w:val="004521CE"/>
    <w:rsid w:val="00452481"/>
    <w:rsid w:val="00452830"/>
    <w:rsid w:val="0045344B"/>
    <w:rsid w:val="00453549"/>
    <w:rsid w:val="00456AE3"/>
    <w:rsid w:val="00456CBD"/>
    <w:rsid w:val="00457819"/>
    <w:rsid w:val="00457B59"/>
    <w:rsid w:val="00461270"/>
    <w:rsid w:val="00462B8A"/>
    <w:rsid w:val="004643E2"/>
    <w:rsid w:val="0046459B"/>
    <w:rsid w:val="004653D9"/>
    <w:rsid w:val="00466CCA"/>
    <w:rsid w:val="0047000D"/>
    <w:rsid w:val="00471720"/>
    <w:rsid w:val="0047493B"/>
    <w:rsid w:val="00475DD1"/>
    <w:rsid w:val="0047782D"/>
    <w:rsid w:val="00477DBD"/>
    <w:rsid w:val="0048085E"/>
    <w:rsid w:val="00480EA4"/>
    <w:rsid w:val="004815CB"/>
    <w:rsid w:val="00481AE0"/>
    <w:rsid w:val="00483F75"/>
    <w:rsid w:val="0048447E"/>
    <w:rsid w:val="00485A43"/>
    <w:rsid w:val="00486A57"/>
    <w:rsid w:val="0049165A"/>
    <w:rsid w:val="004926BE"/>
    <w:rsid w:val="00493119"/>
    <w:rsid w:val="0049315C"/>
    <w:rsid w:val="00495AAC"/>
    <w:rsid w:val="00495F1A"/>
    <w:rsid w:val="00496083"/>
    <w:rsid w:val="0049610E"/>
    <w:rsid w:val="004A0FC0"/>
    <w:rsid w:val="004A1644"/>
    <w:rsid w:val="004A250B"/>
    <w:rsid w:val="004A29A6"/>
    <w:rsid w:val="004A4701"/>
    <w:rsid w:val="004A584B"/>
    <w:rsid w:val="004A589A"/>
    <w:rsid w:val="004A6553"/>
    <w:rsid w:val="004A6D67"/>
    <w:rsid w:val="004A6EA3"/>
    <w:rsid w:val="004A77F9"/>
    <w:rsid w:val="004B0484"/>
    <w:rsid w:val="004B04DD"/>
    <w:rsid w:val="004B0D34"/>
    <w:rsid w:val="004B117B"/>
    <w:rsid w:val="004B16D6"/>
    <w:rsid w:val="004B1AF0"/>
    <w:rsid w:val="004B33DB"/>
    <w:rsid w:val="004B4543"/>
    <w:rsid w:val="004B54F3"/>
    <w:rsid w:val="004B5EBA"/>
    <w:rsid w:val="004B5FB1"/>
    <w:rsid w:val="004B6048"/>
    <w:rsid w:val="004B61DE"/>
    <w:rsid w:val="004B6425"/>
    <w:rsid w:val="004B6734"/>
    <w:rsid w:val="004B6A22"/>
    <w:rsid w:val="004C26C4"/>
    <w:rsid w:val="004C2DB4"/>
    <w:rsid w:val="004C73C7"/>
    <w:rsid w:val="004D0931"/>
    <w:rsid w:val="004D2B89"/>
    <w:rsid w:val="004D466B"/>
    <w:rsid w:val="004D46EA"/>
    <w:rsid w:val="004D46EB"/>
    <w:rsid w:val="004D5BBD"/>
    <w:rsid w:val="004D6075"/>
    <w:rsid w:val="004D7948"/>
    <w:rsid w:val="004D7BD7"/>
    <w:rsid w:val="004E067D"/>
    <w:rsid w:val="004E1385"/>
    <w:rsid w:val="004E1585"/>
    <w:rsid w:val="004E1A3F"/>
    <w:rsid w:val="004E1F39"/>
    <w:rsid w:val="004E3978"/>
    <w:rsid w:val="004E4B8D"/>
    <w:rsid w:val="004E5DC9"/>
    <w:rsid w:val="004F2053"/>
    <w:rsid w:val="004F27E6"/>
    <w:rsid w:val="004F400A"/>
    <w:rsid w:val="004F4655"/>
    <w:rsid w:val="004F546B"/>
    <w:rsid w:val="004F5847"/>
    <w:rsid w:val="004F7507"/>
    <w:rsid w:val="004F7CD3"/>
    <w:rsid w:val="00500215"/>
    <w:rsid w:val="00500774"/>
    <w:rsid w:val="00500916"/>
    <w:rsid w:val="00500F78"/>
    <w:rsid w:val="00501152"/>
    <w:rsid w:val="00501535"/>
    <w:rsid w:val="005018E5"/>
    <w:rsid w:val="005028C5"/>
    <w:rsid w:val="00503049"/>
    <w:rsid w:val="0050362C"/>
    <w:rsid w:val="005043AE"/>
    <w:rsid w:val="0050487B"/>
    <w:rsid w:val="00504D43"/>
    <w:rsid w:val="00504E8A"/>
    <w:rsid w:val="00505988"/>
    <w:rsid w:val="00505FFD"/>
    <w:rsid w:val="00506A0B"/>
    <w:rsid w:val="00506E91"/>
    <w:rsid w:val="005070FE"/>
    <w:rsid w:val="00510149"/>
    <w:rsid w:val="00513C7D"/>
    <w:rsid w:val="0051428A"/>
    <w:rsid w:val="0051438C"/>
    <w:rsid w:val="00514AB2"/>
    <w:rsid w:val="005156F7"/>
    <w:rsid w:val="00515B51"/>
    <w:rsid w:val="00517347"/>
    <w:rsid w:val="00517975"/>
    <w:rsid w:val="0052264D"/>
    <w:rsid w:val="00522C0D"/>
    <w:rsid w:val="00522C36"/>
    <w:rsid w:val="0052503D"/>
    <w:rsid w:val="0052572C"/>
    <w:rsid w:val="00530E88"/>
    <w:rsid w:val="00531896"/>
    <w:rsid w:val="00532640"/>
    <w:rsid w:val="00532D4D"/>
    <w:rsid w:val="005341D2"/>
    <w:rsid w:val="0053452A"/>
    <w:rsid w:val="005351CC"/>
    <w:rsid w:val="00535527"/>
    <w:rsid w:val="0053733B"/>
    <w:rsid w:val="00540440"/>
    <w:rsid w:val="005415BA"/>
    <w:rsid w:val="00541DC8"/>
    <w:rsid w:val="00541E97"/>
    <w:rsid w:val="005429FB"/>
    <w:rsid w:val="00543D5A"/>
    <w:rsid w:val="00543F35"/>
    <w:rsid w:val="005442B9"/>
    <w:rsid w:val="005477E3"/>
    <w:rsid w:val="00550790"/>
    <w:rsid w:val="00550796"/>
    <w:rsid w:val="00551965"/>
    <w:rsid w:val="00551A95"/>
    <w:rsid w:val="00551FC9"/>
    <w:rsid w:val="005527E2"/>
    <w:rsid w:val="005529E8"/>
    <w:rsid w:val="00552CCD"/>
    <w:rsid w:val="00552F44"/>
    <w:rsid w:val="0055320A"/>
    <w:rsid w:val="00553C6F"/>
    <w:rsid w:val="00554208"/>
    <w:rsid w:val="005549F1"/>
    <w:rsid w:val="00554F7C"/>
    <w:rsid w:val="00554FCC"/>
    <w:rsid w:val="0055573A"/>
    <w:rsid w:val="005559C9"/>
    <w:rsid w:val="005573EE"/>
    <w:rsid w:val="00560074"/>
    <w:rsid w:val="00560E88"/>
    <w:rsid w:val="005610C1"/>
    <w:rsid w:val="00562D4C"/>
    <w:rsid w:val="00563575"/>
    <w:rsid w:val="00564A82"/>
    <w:rsid w:val="00565A98"/>
    <w:rsid w:val="0056703A"/>
    <w:rsid w:val="0056719D"/>
    <w:rsid w:val="00567449"/>
    <w:rsid w:val="005709B0"/>
    <w:rsid w:val="00571814"/>
    <w:rsid w:val="00571A11"/>
    <w:rsid w:val="00572B86"/>
    <w:rsid w:val="00575297"/>
    <w:rsid w:val="00577304"/>
    <w:rsid w:val="005800D6"/>
    <w:rsid w:val="00581BB0"/>
    <w:rsid w:val="00582135"/>
    <w:rsid w:val="005834DB"/>
    <w:rsid w:val="00583F6B"/>
    <w:rsid w:val="00584D64"/>
    <w:rsid w:val="0058704B"/>
    <w:rsid w:val="00590443"/>
    <w:rsid w:val="00592D1F"/>
    <w:rsid w:val="005963A8"/>
    <w:rsid w:val="005A0455"/>
    <w:rsid w:val="005A1111"/>
    <w:rsid w:val="005A2A85"/>
    <w:rsid w:val="005A3960"/>
    <w:rsid w:val="005A39C8"/>
    <w:rsid w:val="005A5267"/>
    <w:rsid w:val="005A5C0B"/>
    <w:rsid w:val="005A6C6F"/>
    <w:rsid w:val="005B0635"/>
    <w:rsid w:val="005B08C4"/>
    <w:rsid w:val="005B141F"/>
    <w:rsid w:val="005B3D65"/>
    <w:rsid w:val="005B5B54"/>
    <w:rsid w:val="005B7C26"/>
    <w:rsid w:val="005B7E06"/>
    <w:rsid w:val="005C0186"/>
    <w:rsid w:val="005C29FF"/>
    <w:rsid w:val="005C377D"/>
    <w:rsid w:val="005C3A3C"/>
    <w:rsid w:val="005C4A62"/>
    <w:rsid w:val="005C54F4"/>
    <w:rsid w:val="005C5803"/>
    <w:rsid w:val="005C5D99"/>
    <w:rsid w:val="005C5F08"/>
    <w:rsid w:val="005C64A4"/>
    <w:rsid w:val="005C6775"/>
    <w:rsid w:val="005C706C"/>
    <w:rsid w:val="005C7403"/>
    <w:rsid w:val="005D0183"/>
    <w:rsid w:val="005D048D"/>
    <w:rsid w:val="005D0D35"/>
    <w:rsid w:val="005D203D"/>
    <w:rsid w:val="005D250B"/>
    <w:rsid w:val="005D29C7"/>
    <w:rsid w:val="005D2A2F"/>
    <w:rsid w:val="005D36BC"/>
    <w:rsid w:val="005D3C47"/>
    <w:rsid w:val="005D4532"/>
    <w:rsid w:val="005D4D10"/>
    <w:rsid w:val="005D7251"/>
    <w:rsid w:val="005D7311"/>
    <w:rsid w:val="005E1B5A"/>
    <w:rsid w:val="005E1E2D"/>
    <w:rsid w:val="005E246D"/>
    <w:rsid w:val="005E2B36"/>
    <w:rsid w:val="005E3254"/>
    <w:rsid w:val="005E3336"/>
    <w:rsid w:val="005E364D"/>
    <w:rsid w:val="005E4FCF"/>
    <w:rsid w:val="005E6BEE"/>
    <w:rsid w:val="005E73BB"/>
    <w:rsid w:val="005E7CB5"/>
    <w:rsid w:val="005F08DA"/>
    <w:rsid w:val="005F1ED4"/>
    <w:rsid w:val="005F2B2E"/>
    <w:rsid w:val="005F347C"/>
    <w:rsid w:val="005F4C15"/>
    <w:rsid w:val="005F5C57"/>
    <w:rsid w:val="005F65F2"/>
    <w:rsid w:val="005F67C9"/>
    <w:rsid w:val="005F7104"/>
    <w:rsid w:val="005F79B4"/>
    <w:rsid w:val="00600139"/>
    <w:rsid w:val="00602594"/>
    <w:rsid w:val="006026E7"/>
    <w:rsid w:val="00602E68"/>
    <w:rsid w:val="00603B78"/>
    <w:rsid w:val="00604083"/>
    <w:rsid w:val="00607BD0"/>
    <w:rsid w:val="006105B3"/>
    <w:rsid w:val="0061097B"/>
    <w:rsid w:val="00611692"/>
    <w:rsid w:val="00612316"/>
    <w:rsid w:val="006129D4"/>
    <w:rsid w:val="00614BB5"/>
    <w:rsid w:val="006152CB"/>
    <w:rsid w:val="0061551D"/>
    <w:rsid w:val="00616342"/>
    <w:rsid w:val="0061651A"/>
    <w:rsid w:val="006200AD"/>
    <w:rsid w:val="00620C24"/>
    <w:rsid w:val="00620F0F"/>
    <w:rsid w:val="006215BA"/>
    <w:rsid w:val="00621C96"/>
    <w:rsid w:val="00622600"/>
    <w:rsid w:val="00622E65"/>
    <w:rsid w:val="0062320B"/>
    <w:rsid w:val="006234ED"/>
    <w:rsid w:val="006252A3"/>
    <w:rsid w:val="006255D5"/>
    <w:rsid w:val="00625F30"/>
    <w:rsid w:val="0062625E"/>
    <w:rsid w:val="0062761B"/>
    <w:rsid w:val="00630441"/>
    <w:rsid w:val="00630483"/>
    <w:rsid w:val="00632093"/>
    <w:rsid w:val="00633D45"/>
    <w:rsid w:val="006359A5"/>
    <w:rsid w:val="00635ECC"/>
    <w:rsid w:val="00636174"/>
    <w:rsid w:val="00636503"/>
    <w:rsid w:val="00637716"/>
    <w:rsid w:val="006378D2"/>
    <w:rsid w:val="00637A29"/>
    <w:rsid w:val="006408B3"/>
    <w:rsid w:val="0064094D"/>
    <w:rsid w:val="00640C89"/>
    <w:rsid w:val="00642A8F"/>
    <w:rsid w:val="00643D4E"/>
    <w:rsid w:val="00644E8B"/>
    <w:rsid w:val="0064548C"/>
    <w:rsid w:val="006466A5"/>
    <w:rsid w:val="00646EE1"/>
    <w:rsid w:val="006478F4"/>
    <w:rsid w:val="00650670"/>
    <w:rsid w:val="006508C7"/>
    <w:rsid w:val="0065098B"/>
    <w:rsid w:val="006511F8"/>
    <w:rsid w:val="0065219E"/>
    <w:rsid w:val="00653725"/>
    <w:rsid w:val="00653FAA"/>
    <w:rsid w:val="006545D5"/>
    <w:rsid w:val="00654C00"/>
    <w:rsid w:val="00655090"/>
    <w:rsid w:val="0065577F"/>
    <w:rsid w:val="006560D2"/>
    <w:rsid w:val="0065633F"/>
    <w:rsid w:val="006566FC"/>
    <w:rsid w:val="0065688B"/>
    <w:rsid w:val="00657073"/>
    <w:rsid w:val="0065737E"/>
    <w:rsid w:val="006574FF"/>
    <w:rsid w:val="00657F86"/>
    <w:rsid w:val="00660C5D"/>
    <w:rsid w:val="00663E48"/>
    <w:rsid w:val="00664D4D"/>
    <w:rsid w:val="00665390"/>
    <w:rsid w:val="00665CA1"/>
    <w:rsid w:val="00666EA3"/>
    <w:rsid w:val="0066784A"/>
    <w:rsid w:val="00667E33"/>
    <w:rsid w:val="006702CE"/>
    <w:rsid w:val="00671E18"/>
    <w:rsid w:val="00672AA9"/>
    <w:rsid w:val="006739DE"/>
    <w:rsid w:val="00673CBD"/>
    <w:rsid w:val="00673D2B"/>
    <w:rsid w:val="00674E19"/>
    <w:rsid w:val="0067604B"/>
    <w:rsid w:val="00676E44"/>
    <w:rsid w:val="00676F1E"/>
    <w:rsid w:val="00677C41"/>
    <w:rsid w:val="00677E6D"/>
    <w:rsid w:val="0068083F"/>
    <w:rsid w:val="006809BF"/>
    <w:rsid w:val="00682518"/>
    <w:rsid w:val="006837AF"/>
    <w:rsid w:val="00683824"/>
    <w:rsid w:val="00683C04"/>
    <w:rsid w:val="0068602D"/>
    <w:rsid w:val="006869E3"/>
    <w:rsid w:val="0068716C"/>
    <w:rsid w:val="006871A2"/>
    <w:rsid w:val="00691AC2"/>
    <w:rsid w:val="00691F6B"/>
    <w:rsid w:val="0069438D"/>
    <w:rsid w:val="00695215"/>
    <w:rsid w:val="006952B0"/>
    <w:rsid w:val="006956D5"/>
    <w:rsid w:val="00695A6B"/>
    <w:rsid w:val="00696A4D"/>
    <w:rsid w:val="00697434"/>
    <w:rsid w:val="00697EB9"/>
    <w:rsid w:val="006A0474"/>
    <w:rsid w:val="006A2154"/>
    <w:rsid w:val="006A3806"/>
    <w:rsid w:val="006A5FF5"/>
    <w:rsid w:val="006A6543"/>
    <w:rsid w:val="006A7481"/>
    <w:rsid w:val="006A7856"/>
    <w:rsid w:val="006A7968"/>
    <w:rsid w:val="006B0EBF"/>
    <w:rsid w:val="006B188C"/>
    <w:rsid w:val="006B1E58"/>
    <w:rsid w:val="006B3692"/>
    <w:rsid w:val="006B4F4A"/>
    <w:rsid w:val="006B53A5"/>
    <w:rsid w:val="006B5910"/>
    <w:rsid w:val="006B6105"/>
    <w:rsid w:val="006B64F8"/>
    <w:rsid w:val="006C1503"/>
    <w:rsid w:val="006C2FBD"/>
    <w:rsid w:val="006C44D4"/>
    <w:rsid w:val="006C470D"/>
    <w:rsid w:val="006C48C9"/>
    <w:rsid w:val="006C5984"/>
    <w:rsid w:val="006D13F6"/>
    <w:rsid w:val="006D184B"/>
    <w:rsid w:val="006D1E1B"/>
    <w:rsid w:val="006D22F3"/>
    <w:rsid w:val="006D2D67"/>
    <w:rsid w:val="006D30AB"/>
    <w:rsid w:val="006D327C"/>
    <w:rsid w:val="006D3BDD"/>
    <w:rsid w:val="006D45BE"/>
    <w:rsid w:val="006D4994"/>
    <w:rsid w:val="006D63E5"/>
    <w:rsid w:val="006D64A1"/>
    <w:rsid w:val="006D70F8"/>
    <w:rsid w:val="006D77E3"/>
    <w:rsid w:val="006E1900"/>
    <w:rsid w:val="006E1E37"/>
    <w:rsid w:val="006E241A"/>
    <w:rsid w:val="006E2844"/>
    <w:rsid w:val="006E398D"/>
    <w:rsid w:val="006E42C3"/>
    <w:rsid w:val="006E5DAF"/>
    <w:rsid w:val="006E6130"/>
    <w:rsid w:val="006E691B"/>
    <w:rsid w:val="006F1ABB"/>
    <w:rsid w:val="006F20BC"/>
    <w:rsid w:val="006F216D"/>
    <w:rsid w:val="006F21F0"/>
    <w:rsid w:val="006F40C4"/>
    <w:rsid w:val="006F5574"/>
    <w:rsid w:val="006F5CE2"/>
    <w:rsid w:val="006F67AB"/>
    <w:rsid w:val="006F67D3"/>
    <w:rsid w:val="006F70B4"/>
    <w:rsid w:val="006F7A2F"/>
    <w:rsid w:val="006F7C19"/>
    <w:rsid w:val="006F7F8E"/>
    <w:rsid w:val="0070043B"/>
    <w:rsid w:val="0070098D"/>
    <w:rsid w:val="007017BE"/>
    <w:rsid w:val="0070186E"/>
    <w:rsid w:val="00702C80"/>
    <w:rsid w:val="007036D1"/>
    <w:rsid w:val="0070370F"/>
    <w:rsid w:val="00703C4E"/>
    <w:rsid w:val="00703E47"/>
    <w:rsid w:val="00706411"/>
    <w:rsid w:val="007068D3"/>
    <w:rsid w:val="007071CE"/>
    <w:rsid w:val="00707F94"/>
    <w:rsid w:val="0071173B"/>
    <w:rsid w:val="007123C9"/>
    <w:rsid w:val="00713472"/>
    <w:rsid w:val="00714BCD"/>
    <w:rsid w:val="007151BE"/>
    <w:rsid w:val="0071523C"/>
    <w:rsid w:val="007153D9"/>
    <w:rsid w:val="0071728F"/>
    <w:rsid w:val="00717317"/>
    <w:rsid w:val="0071785F"/>
    <w:rsid w:val="00722D83"/>
    <w:rsid w:val="00723218"/>
    <w:rsid w:val="0072448E"/>
    <w:rsid w:val="0072503F"/>
    <w:rsid w:val="0072636C"/>
    <w:rsid w:val="007265F0"/>
    <w:rsid w:val="00726A66"/>
    <w:rsid w:val="00730ADF"/>
    <w:rsid w:val="00731227"/>
    <w:rsid w:val="0073132C"/>
    <w:rsid w:val="00734DC4"/>
    <w:rsid w:val="00735322"/>
    <w:rsid w:val="00735EFF"/>
    <w:rsid w:val="007366C9"/>
    <w:rsid w:val="00737AAC"/>
    <w:rsid w:val="00740B70"/>
    <w:rsid w:val="00740EAF"/>
    <w:rsid w:val="007415B2"/>
    <w:rsid w:val="00741DEA"/>
    <w:rsid w:val="007430F3"/>
    <w:rsid w:val="00744887"/>
    <w:rsid w:val="007455FD"/>
    <w:rsid w:val="007456B2"/>
    <w:rsid w:val="00745C86"/>
    <w:rsid w:val="007472D8"/>
    <w:rsid w:val="0074793F"/>
    <w:rsid w:val="00747C32"/>
    <w:rsid w:val="007506DB"/>
    <w:rsid w:val="00750736"/>
    <w:rsid w:val="007511CF"/>
    <w:rsid w:val="00751C49"/>
    <w:rsid w:val="007521D9"/>
    <w:rsid w:val="00752A44"/>
    <w:rsid w:val="00753D0D"/>
    <w:rsid w:val="007540FC"/>
    <w:rsid w:val="00754203"/>
    <w:rsid w:val="00754327"/>
    <w:rsid w:val="007561F7"/>
    <w:rsid w:val="00756686"/>
    <w:rsid w:val="00756775"/>
    <w:rsid w:val="00756790"/>
    <w:rsid w:val="007567A9"/>
    <w:rsid w:val="00757460"/>
    <w:rsid w:val="00760DCA"/>
    <w:rsid w:val="007626D9"/>
    <w:rsid w:val="00762ACE"/>
    <w:rsid w:val="00763317"/>
    <w:rsid w:val="00764043"/>
    <w:rsid w:val="0076482F"/>
    <w:rsid w:val="00764F13"/>
    <w:rsid w:val="00764FDE"/>
    <w:rsid w:val="007667AC"/>
    <w:rsid w:val="00766A0A"/>
    <w:rsid w:val="0077007E"/>
    <w:rsid w:val="007700E9"/>
    <w:rsid w:val="007713E9"/>
    <w:rsid w:val="00772A41"/>
    <w:rsid w:val="007740F2"/>
    <w:rsid w:val="007747E6"/>
    <w:rsid w:val="00774B64"/>
    <w:rsid w:val="00774DD5"/>
    <w:rsid w:val="00775C00"/>
    <w:rsid w:val="00777515"/>
    <w:rsid w:val="0078166C"/>
    <w:rsid w:val="00782CDB"/>
    <w:rsid w:val="00783178"/>
    <w:rsid w:val="00784995"/>
    <w:rsid w:val="00784C43"/>
    <w:rsid w:val="007866BE"/>
    <w:rsid w:val="007873F9"/>
    <w:rsid w:val="00790655"/>
    <w:rsid w:val="00790E57"/>
    <w:rsid w:val="00792C4A"/>
    <w:rsid w:val="007931C3"/>
    <w:rsid w:val="0079368C"/>
    <w:rsid w:val="007940F3"/>
    <w:rsid w:val="00795DFB"/>
    <w:rsid w:val="0079601D"/>
    <w:rsid w:val="007967F9"/>
    <w:rsid w:val="007A068A"/>
    <w:rsid w:val="007A0A38"/>
    <w:rsid w:val="007A0A48"/>
    <w:rsid w:val="007A0AE7"/>
    <w:rsid w:val="007A2F42"/>
    <w:rsid w:val="007A32EF"/>
    <w:rsid w:val="007A484E"/>
    <w:rsid w:val="007A6A87"/>
    <w:rsid w:val="007A6DBE"/>
    <w:rsid w:val="007A6E60"/>
    <w:rsid w:val="007A7138"/>
    <w:rsid w:val="007A77BF"/>
    <w:rsid w:val="007A7D32"/>
    <w:rsid w:val="007B0337"/>
    <w:rsid w:val="007B0600"/>
    <w:rsid w:val="007B09CD"/>
    <w:rsid w:val="007B0D1E"/>
    <w:rsid w:val="007B0FCA"/>
    <w:rsid w:val="007B203B"/>
    <w:rsid w:val="007B2D13"/>
    <w:rsid w:val="007B3B14"/>
    <w:rsid w:val="007B4554"/>
    <w:rsid w:val="007B520C"/>
    <w:rsid w:val="007B6187"/>
    <w:rsid w:val="007B63E3"/>
    <w:rsid w:val="007B6F37"/>
    <w:rsid w:val="007B7ADB"/>
    <w:rsid w:val="007C0F3C"/>
    <w:rsid w:val="007C1583"/>
    <w:rsid w:val="007C21D2"/>
    <w:rsid w:val="007C423B"/>
    <w:rsid w:val="007C4BDD"/>
    <w:rsid w:val="007C6C39"/>
    <w:rsid w:val="007C7431"/>
    <w:rsid w:val="007D0963"/>
    <w:rsid w:val="007D1D17"/>
    <w:rsid w:val="007D28F5"/>
    <w:rsid w:val="007D36A5"/>
    <w:rsid w:val="007D3CD6"/>
    <w:rsid w:val="007D3D04"/>
    <w:rsid w:val="007D3EEE"/>
    <w:rsid w:val="007D4831"/>
    <w:rsid w:val="007D530B"/>
    <w:rsid w:val="007D64DA"/>
    <w:rsid w:val="007D7314"/>
    <w:rsid w:val="007D7351"/>
    <w:rsid w:val="007E01F7"/>
    <w:rsid w:val="007E0437"/>
    <w:rsid w:val="007E0D2F"/>
    <w:rsid w:val="007E0DE2"/>
    <w:rsid w:val="007E307B"/>
    <w:rsid w:val="007E3343"/>
    <w:rsid w:val="007E598E"/>
    <w:rsid w:val="007E68E7"/>
    <w:rsid w:val="007E6F1B"/>
    <w:rsid w:val="007E788B"/>
    <w:rsid w:val="007E7DC6"/>
    <w:rsid w:val="007F2E4C"/>
    <w:rsid w:val="007F32EC"/>
    <w:rsid w:val="007F4238"/>
    <w:rsid w:val="007F643D"/>
    <w:rsid w:val="007F6575"/>
    <w:rsid w:val="007F6A81"/>
    <w:rsid w:val="00800177"/>
    <w:rsid w:val="00800BA4"/>
    <w:rsid w:val="00800D8F"/>
    <w:rsid w:val="00801591"/>
    <w:rsid w:val="00801937"/>
    <w:rsid w:val="008049F9"/>
    <w:rsid w:val="00806567"/>
    <w:rsid w:val="0080712C"/>
    <w:rsid w:val="00807BD2"/>
    <w:rsid w:val="00807C21"/>
    <w:rsid w:val="00810296"/>
    <w:rsid w:val="008104D3"/>
    <w:rsid w:val="00810D8A"/>
    <w:rsid w:val="008113CA"/>
    <w:rsid w:val="00811632"/>
    <w:rsid w:val="008123E6"/>
    <w:rsid w:val="00813356"/>
    <w:rsid w:val="00815AE8"/>
    <w:rsid w:val="008168CC"/>
    <w:rsid w:val="00822629"/>
    <w:rsid w:val="008236A3"/>
    <w:rsid w:val="00823BB6"/>
    <w:rsid w:val="00824032"/>
    <w:rsid w:val="00824298"/>
    <w:rsid w:val="00825503"/>
    <w:rsid w:val="0082570C"/>
    <w:rsid w:val="0082670F"/>
    <w:rsid w:val="00826A7C"/>
    <w:rsid w:val="00826FD7"/>
    <w:rsid w:val="008279D8"/>
    <w:rsid w:val="00827ECC"/>
    <w:rsid w:val="00830C17"/>
    <w:rsid w:val="008330DD"/>
    <w:rsid w:val="008348DC"/>
    <w:rsid w:val="00834C04"/>
    <w:rsid w:val="008350ED"/>
    <w:rsid w:val="008364F7"/>
    <w:rsid w:val="00836E69"/>
    <w:rsid w:val="008405ED"/>
    <w:rsid w:val="0084166B"/>
    <w:rsid w:val="00842754"/>
    <w:rsid w:val="00842C63"/>
    <w:rsid w:val="00843F92"/>
    <w:rsid w:val="00844469"/>
    <w:rsid w:val="00844807"/>
    <w:rsid w:val="0084517A"/>
    <w:rsid w:val="00846291"/>
    <w:rsid w:val="008462D3"/>
    <w:rsid w:val="00846AD2"/>
    <w:rsid w:val="00847E5F"/>
    <w:rsid w:val="0085034C"/>
    <w:rsid w:val="008505E2"/>
    <w:rsid w:val="0085086F"/>
    <w:rsid w:val="00850E67"/>
    <w:rsid w:val="00851330"/>
    <w:rsid w:val="008535C8"/>
    <w:rsid w:val="008557C3"/>
    <w:rsid w:val="00860B23"/>
    <w:rsid w:val="0086125F"/>
    <w:rsid w:val="008615C6"/>
    <w:rsid w:val="00861C39"/>
    <w:rsid w:val="00861DBE"/>
    <w:rsid w:val="008628D7"/>
    <w:rsid w:val="0086385F"/>
    <w:rsid w:val="00863D31"/>
    <w:rsid w:val="00863EE7"/>
    <w:rsid w:val="0086406C"/>
    <w:rsid w:val="00864DB3"/>
    <w:rsid w:val="0086522A"/>
    <w:rsid w:val="008657F0"/>
    <w:rsid w:val="008664BD"/>
    <w:rsid w:val="0086698A"/>
    <w:rsid w:val="008674B2"/>
    <w:rsid w:val="00867B74"/>
    <w:rsid w:val="008704D8"/>
    <w:rsid w:val="00870549"/>
    <w:rsid w:val="00870EA6"/>
    <w:rsid w:val="00871656"/>
    <w:rsid w:val="00873DB4"/>
    <w:rsid w:val="0087450F"/>
    <w:rsid w:val="008745E0"/>
    <w:rsid w:val="008750E4"/>
    <w:rsid w:val="008754D6"/>
    <w:rsid w:val="00875EDA"/>
    <w:rsid w:val="00877A5E"/>
    <w:rsid w:val="00877C25"/>
    <w:rsid w:val="008804ED"/>
    <w:rsid w:val="00880564"/>
    <w:rsid w:val="00880D54"/>
    <w:rsid w:val="00881106"/>
    <w:rsid w:val="008811E5"/>
    <w:rsid w:val="0088158E"/>
    <w:rsid w:val="00882A97"/>
    <w:rsid w:val="00884A14"/>
    <w:rsid w:val="00884DA8"/>
    <w:rsid w:val="00885F64"/>
    <w:rsid w:val="00886586"/>
    <w:rsid w:val="0088720B"/>
    <w:rsid w:val="00887C8C"/>
    <w:rsid w:val="00887F74"/>
    <w:rsid w:val="00890A62"/>
    <w:rsid w:val="0089136C"/>
    <w:rsid w:val="0089432C"/>
    <w:rsid w:val="0089480A"/>
    <w:rsid w:val="008955CB"/>
    <w:rsid w:val="0089691D"/>
    <w:rsid w:val="00897FA6"/>
    <w:rsid w:val="008A0522"/>
    <w:rsid w:val="008A2E5B"/>
    <w:rsid w:val="008A4F6F"/>
    <w:rsid w:val="008A516D"/>
    <w:rsid w:val="008A67C3"/>
    <w:rsid w:val="008A75C9"/>
    <w:rsid w:val="008B0330"/>
    <w:rsid w:val="008B0EF8"/>
    <w:rsid w:val="008B5FD0"/>
    <w:rsid w:val="008B6EDD"/>
    <w:rsid w:val="008B7315"/>
    <w:rsid w:val="008C14CD"/>
    <w:rsid w:val="008C189D"/>
    <w:rsid w:val="008C1BE0"/>
    <w:rsid w:val="008C2EB7"/>
    <w:rsid w:val="008C3B22"/>
    <w:rsid w:val="008C43D3"/>
    <w:rsid w:val="008C5267"/>
    <w:rsid w:val="008C537F"/>
    <w:rsid w:val="008C7102"/>
    <w:rsid w:val="008C7CC5"/>
    <w:rsid w:val="008D058D"/>
    <w:rsid w:val="008D1B55"/>
    <w:rsid w:val="008D3CBB"/>
    <w:rsid w:val="008D44CB"/>
    <w:rsid w:val="008D512B"/>
    <w:rsid w:val="008D671C"/>
    <w:rsid w:val="008D7BB4"/>
    <w:rsid w:val="008E023E"/>
    <w:rsid w:val="008E06A9"/>
    <w:rsid w:val="008E1169"/>
    <w:rsid w:val="008E20EE"/>
    <w:rsid w:val="008E21E9"/>
    <w:rsid w:val="008E233A"/>
    <w:rsid w:val="008E2C62"/>
    <w:rsid w:val="008E3273"/>
    <w:rsid w:val="008E379C"/>
    <w:rsid w:val="008E3F6D"/>
    <w:rsid w:val="008E576D"/>
    <w:rsid w:val="008E5AFF"/>
    <w:rsid w:val="008E6F33"/>
    <w:rsid w:val="008E739E"/>
    <w:rsid w:val="008E7453"/>
    <w:rsid w:val="008E76F2"/>
    <w:rsid w:val="008F019E"/>
    <w:rsid w:val="008F0348"/>
    <w:rsid w:val="008F0660"/>
    <w:rsid w:val="008F0EB3"/>
    <w:rsid w:val="008F1404"/>
    <w:rsid w:val="008F45F3"/>
    <w:rsid w:val="008F484F"/>
    <w:rsid w:val="008F75DA"/>
    <w:rsid w:val="008F7CED"/>
    <w:rsid w:val="00900D16"/>
    <w:rsid w:val="009017DB"/>
    <w:rsid w:val="00902959"/>
    <w:rsid w:val="0090376A"/>
    <w:rsid w:val="009049AE"/>
    <w:rsid w:val="009067B4"/>
    <w:rsid w:val="0090710D"/>
    <w:rsid w:val="009072BB"/>
    <w:rsid w:val="00907D6A"/>
    <w:rsid w:val="009102F7"/>
    <w:rsid w:val="0091047D"/>
    <w:rsid w:val="009116B4"/>
    <w:rsid w:val="00912258"/>
    <w:rsid w:val="009128E4"/>
    <w:rsid w:val="00915021"/>
    <w:rsid w:val="009159CA"/>
    <w:rsid w:val="0091624C"/>
    <w:rsid w:val="00916BD8"/>
    <w:rsid w:val="00917D9D"/>
    <w:rsid w:val="009203A9"/>
    <w:rsid w:val="00921F86"/>
    <w:rsid w:val="0092213B"/>
    <w:rsid w:val="00922426"/>
    <w:rsid w:val="00922585"/>
    <w:rsid w:val="00922997"/>
    <w:rsid w:val="00922B28"/>
    <w:rsid w:val="00923C70"/>
    <w:rsid w:val="009242C1"/>
    <w:rsid w:val="00924468"/>
    <w:rsid w:val="0092477D"/>
    <w:rsid w:val="00925027"/>
    <w:rsid w:val="009255C8"/>
    <w:rsid w:val="00925E79"/>
    <w:rsid w:val="00926158"/>
    <w:rsid w:val="00926879"/>
    <w:rsid w:val="009269C1"/>
    <w:rsid w:val="009275A8"/>
    <w:rsid w:val="00930C99"/>
    <w:rsid w:val="00930D91"/>
    <w:rsid w:val="00931322"/>
    <w:rsid w:val="0093199B"/>
    <w:rsid w:val="009324BE"/>
    <w:rsid w:val="00932AE6"/>
    <w:rsid w:val="0093328C"/>
    <w:rsid w:val="00935657"/>
    <w:rsid w:val="00935DBD"/>
    <w:rsid w:val="00937EA3"/>
    <w:rsid w:val="0094113B"/>
    <w:rsid w:val="00941442"/>
    <w:rsid w:val="0094158E"/>
    <w:rsid w:val="00943286"/>
    <w:rsid w:val="009441D5"/>
    <w:rsid w:val="009451A4"/>
    <w:rsid w:val="00946E8A"/>
    <w:rsid w:val="00947B3C"/>
    <w:rsid w:val="00950E35"/>
    <w:rsid w:val="0095162C"/>
    <w:rsid w:val="00952CE3"/>
    <w:rsid w:val="00952F8C"/>
    <w:rsid w:val="009531AC"/>
    <w:rsid w:val="00953F9D"/>
    <w:rsid w:val="0095445C"/>
    <w:rsid w:val="00954B23"/>
    <w:rsid w:val="0095542A"/>
    <w:rsid w:val="00956A3D"/>
    <w:rsid w:val="00957199"/>
    <w:rsid w:val="00957266"/>
    <w:rsid w:val="009574FF"/>
    <w:rsid w:val="00960C6D"/>
    <w:rsid w:val="00963817"/>
    <w:rsid w:val="00963BF3"/>
    <w:rsid w:val="00964113"/>
    <w:rsid w:val="00965039"/>
    <w:rsid w:val="009650E4"/>
    <w:rsid w:val="00965B85"/>
    <w:rsid w:val="00966561"/>
    <w:rsid w:val="00966B6C"/>
    <w:rsid w:val="00966ECB"/>
    <w:rsid w:val="00967A60"/>
    <w:rsid w:val="00967AE7"/>
    <w:rsid w:val="00970C2E"/>
    <w:rsid w:val="00973194"/>
    <w:rsid w:val="00974A05"/>
    <w:rsid w:val="00974A17"/>
    <w:rsid w:val="009750B5"/>
    <w:rsid w:val="009800AA"/>
    <w:rsid w:val="00980495"/>
    <w:rsid w:val="00982FAB"/>
    <w:rsid w:val="0098586F"/>
    <w:rsid w:val="00985B50"/>
    <w:rsid w:val="00985C25"/>
    <w:rsid w:val="009863D5"/>
    <w:rsid w:val="009865D7"/>
    <w:rsid w:val="0098763E"/>
    <w:rsid w:val="009910BA"/>
    <w:rsid w:val="009917E4"/>
    <w:rsid w:val="00991E3D"/>
    <w:rsid w:val="00992515"/>
    <w:rsid w:val="00992BC4"/>
    <w:rsid w:val="009934E5"/>
    <w:rsid w:val="00995892"/>
    <w:rsid w:val="009A0582"/>
    <w:rsid w:val="009A05B8"/>
    <w:rsid w:val="009A0D64"/>
    <w:rsid w:val="009A11FB"/>
    <w:rsid w:val="009A1CCC"/>
    <w:rsid w:val="009A20FF"/>
    <w:rsid w:val="009A27CE"/>
    <w:rsid w:val="009A28F2"/>
    <w:rsid w:val="009A3E4C"/>
    <w:rsid w:val="009A4BF7"/>
    <w:rsid w:val="009A7035"/>
    <w:rsid w:val="009A7B4B"/>
    <w:rsid w:val="009B2867"/>
    <w:rsid w:val="009B59EA"/>
    <w:rsid w:val="009B5BEF"/>
    <w:rsid w:val="009B7FBD"/>
    <w:rsid w:val="009C1D4A"/>
    <w:rsid w:val="009C3179"/>
    <w:rsid w:val="009C4B07"/>
    <w:rsid w:val="009C4F0C"/>
    <w:rsid w:val="009C653C"/>
    <w:rsid w:val="009C7888"/>
    <w:rsid w:val="009D0AF3"/>
    <w:rsid w:val="009D1C0E"/>
    <w:rsid w:val="009D2303"/>
    <w:rsid w:val="009D231A"/>
    <w:rsid w:val="009D2F3F"/>
    <w:rsid w:val="009D3021"/>
    <w:rsid w:val="009D33DB"/>
    <w:rsid w:val="009D3EAC"/>
    <w:rsid w:val="009D42EF"/>
    <w:rsid w:val="009D5BBB"/>
    <w:rsid w:val="009D62A7"/>
    <w:rsid w:val="009D6808"/>
    <w:rsid w:val="009D6E59"/>
    <w:rsid w:val="009D749E"/>
    <w:rsid w:val="009E23A7"/>
    <w:rsid w:val="009E2640"/>
    <w:rsid w:val="009E271A"/>
    <w:rsid w:val="009E2C73"/>
    <w:rsid w:val="009E396A"/>
    <w:rsid w:val="009E3A9D"/>
    <w:rsid w:val="009E46DE"/>
    <w:rsid w:val="009E5BBB"/>
    <w:rsid w:val="009E5EDA"/>
    <w:rsid w:val="009E6AFB"/>
    <w:rsid w:val="009E74E4"/>
    <w:rsid w:val="009E7634"/>
    <w:rsid w:val="009E79C5"/>
    <w:rsid w:val="009E7F85"/>
    <w:rsid w:val="009F0254"/>
    <w:rsid w:val="009F115D"/>
    <w:rsid w:val="009F2F21"/>
    <w:rsid w:val="009F3EFD"/>
    <w:rsid w:val="009F5F58"/>
    <w:rsid w:val="009F6289"/>
    <w:rsid w:val="009F68CA"/>
    <w:rsid w:val="009F7B57"/>
    <w:rsid w:val="009F7F56"/>
    <w:rsid w:val="00A00353"/>
    <w:rsid w:val="00A00847"/>
    <w:rsid w:val="00A00907"/>
    <w:rsid w:val="00A00EB4"/>
    <w:rsid w:val="00A02564"/>
    <w:rsid w:val="00A02EB3"/>
    <w:rsid w:val="00A0307E"/>
    <w:rsid w:val="00A030F2"/>
    <w:rsid w:val="00A03177"/>
    <w:rsid w:val="00A035F0"/>
    <w:rsid w:val="00A041C9"/>
    <w:rsid w:val="00A04429"/>
    <w:rsid w:val="00A050F6"/>
    <w:rsid w:val="00A0587C"/>
    <w:rsid w:val="00A06AAB"/>
    <w:rsid w:val="00A06C35"/>
    <w:rsid w:val="00A10D4B"/>
    <w:rsid w:val="00A110CA"/>
    <w:rsid w:val="00A11245"/>
    <w:rsid w:val="00A113A3"/>
    <w:rsid w:val="00A117FC"/>
    <w:rsid w:val="00A11ECD"/>
    <w:rsid w:val="00A11FC0"/>
    <w:rsid w:val="00A143D2"/>
    <w:rsid w:val="00A150C8"/>
    <w:rsid w:val="00A1578F"/>
    <w:rsid w:val="00A1671F"/>
    <w:rsid w:val="00A16C6D"/>
    <w:rsid w:val="00A1753C"/>
    <w:rsid w:val="00A17654"/>
    <w:rsid w:val="00A20D52"/>
    <w:rsid w:val="00A2134F"/>
    <w:rsid w:val="00A220F4"/>
    <w:rsid w:val="00A255B7"/>
    <w:rsid w:val="00A274DA"/>
    <w:rsid w:val="00A27676"/>
    <w:rsid w:val="00A3014B"/>
    <w:rsid w:val="00A3032E"/>
    <w:rsid w:val="00A30C4C"/>
    <w:rsid w:val="00A31310"/>
    <w:rsid w:val="00A31D3D"/>
    <w:rsid w:val="00A33E8F"/>
    <w:rsid w:val="00A34F60"/>
    <w:rsid w:val="00A35562"/>
    <w:rsid w:val="00A36C99"/>
    <w:rsid w:val="00A376CC"/>
    <w:rsid w:val="00A40345"/>
    <w:rsid w:val="00A415F6"/>
    <w:rsid w:val="00A4203A"/>
    <w:rsid w:val="00A42A3B"/>
    <w:rsid w:val="00A4360A"/>
    <w:rsid w:val="00A43DDA"/>
    <w:rsid w:val="00A45C16"/>
    <w:rsid w:val="00A45E6E"/>
    <w:rsid w:val="00A47D2E"/>
    <w:rsid w:val="00A50420"/>
    <w:rsid w:val="00A50B75"/>
    <w:rsid w:val="00A51924"/>
    <w:rsid w:val="00A51F2D"/>
    <w:rsid w:val="00A51F47"/>
    <w:rsid w:val="00A52944"/>
    <w:rsid w:val="00A52B36"/>
    <w:rsid w:val="00A532E5"/>
    <w:rsid w:val="00A53AED"/>
    <w:rsid w:val="00A540EE"/>
    <w:rsid w:val="00A57402"/>
    <w:rsid w:val="00A577CA"/>
    <w:rsid w:val="00A6041F"/>
    <w:rsid w:val="00A604A6"/>
    <w:rsid w:val="00A60F8D"/>
    <w:rsid w:val="00A62EED"/>
    <w:rsid w:val="00A6514A"/>
    <w:rsid w:val="00A6561B"/>
    <w:rsid w:val="00A66722"/>
    <w:rsid w:val="00A66D7D"/>
    <w:rsid w:val="00A6797C"/>
    <w:rsid w:val="00A70E75"/>
    <w:rsid w:val="00A716A0"/>
    <w:rsid w:val="00A7180F"/>
    <w:rsid w:val="00A7193F"/>
    <w:rsid w:val="00A7236E"/>
    <w:rsid w:val="00A727A2"/>
    <w:rsid w:val="00A72CFC"/>
    <w:rsid w:val="00A7382B"/>
    <w:rsid w:val="00A7464A"/>
    <w:rsid w:val="00A7466A"/>
    <w:rsid w:val="00A7475B"/>
    <w:rsid w:val="00A76351"/>
    <w:rsid w:val="00A8029D"/>
    <w:rsid w:val="00A80441"/>
    <w:rsid w:val="00A81720"/>
    <w:rsid w:val="00A81CAD"/>
    <w:rsid w:val="00A81E91"/>
    <w:rsid w:val="00A8231E"/>
    <w:rsid w:val="00A82840"/>
    <w:rsid w:val="00A82AA6"/>
    <w:rsid w:val="00A84318"/>
    <w:rsid w:val="00A84F43"/>
    <w:rsid w:val="00A856AB"/>
    <w:rsid w:val="00A8596E"/>
    <w:rsid w:val="00A86388"/>
    <w:rsid w:val="00A8647D"/>
    <w:rsid w:val="00A876B4"/>
    <w:rsid w:val="00A91872"/>
    <w:rsid w:val="00A92112"/>
    <w:rsid w:val="00A9367F"/>
    <w:rsid w:val="00A93F3C"/>
    <w:rsid w:val="00A93F57"/>
    <w:rsid w:val="00A94547"/>
    <w:rsid w:val="00A949AC"/>
    <w:rsid w:val="00A954C4"/>
    <w:rsid w:val="00A954FE"/>
    <w:rsid w:val="00A95EAA"/>
    <w:rsid w:val="00A95FE2"/>
    <w:rsid w:val="00A964C1"/>
    <w:rsid w:val="00A969F3"/>
    <w:rsid w:val="00AA274F"/>
    <w:rsid w:val="00AA3151"/>
    <w:rsid w:val="00AA33CC"/>
    <w:rsid w:val="00AA592A"/>
    <w:rsid w:val="00AA5A9A"/>
    <w:rsid w:val="00AA77C5"/>
    <w:rsid w:val="00AB0931"/>
    <w:rsid w:val="00AB0C30"/>
    <w:rsid w:val="00AB0CDB"/>
    <w:rsid w:val="00AB1BD3"/>
    <w:rsid w:val="00AB3BB0"/>
    <w:rsid w:val="00AB3BB8"/>
    <w:rsid w:val="00AB3D09"/>
    <w:rsid w:val="00AB4286"/>
    <w:rsid w:val="00AB58AD"/>
    <w:rsid w:val="00AB7EBE"/>
    <w:rsid w:val="00AC09D5"/>
    <w:rsid w:val="00AC13BB"/>
    <w:rsid w:val="00AC1811"/>
    <w:rsid w:val="00AC1993"/>
    <w:rsid w:val="00AC2455"/>
    <w:rsid w:val="00AC28FB"/>
    <w:rsid w:val="00AC3F0E"/>
    <w:rsid w:val="00AC43C5"/>
    <w:rsid w:val="00AC44AC"/>
    <w:rsid w:val="00AC4B57"/>
    <w:rsid w:val="00AC5314"/>
    <w:rsid w:val="00AC7424"/>
    <w:rsid w:val="00AC7B97"/>
    <w:rsid w:val="00AD006A"/>
    <w:rsid w:val="00AD18E8"/>
    <w:rsid w:val="00AD1C26"/>
    <w:rsid w:val="00AD394F"/>
    <w:rsid w:val="00AD4427"/>
    <w:rsid w:val="00AD61E7"/>
    <w:rsid w:val="00AD72E6"/>
    <w:rsid w:val="00AD7B04"/>
    <w:rsid w:val="00AE0FEF"/>
    <w:rsid w:val="00AE287E"/>
    <w:rsid w:val="00AE3AEB"/>
    <w:rsid w:val="00AE3DC1"/>
    <w:rsid w:val="00AE6249"/>
    <w:rsid w:val="00AE67FB"/>
    <w:rsid w:val="00AF0DBD"/>
    <w:rsid w:val="00AF0EEE"/>
    <w:rsid w:val="00AF17C3"/>
    <w:rsid w:val="00AF1A21"/>
    <w:rsid w:val="00AF2453"/>
    <w:rsid w:val="00AF2AF3"/>
    <w:rsid w:val="00AF34A4"/>
    <w:rsid w:val="00AF38AE"/>
    <w:rsid w:val="00AF3B43"/>
    <w:rsid w:val="00AF3C01"/>
    <w:rsid w:val="00AF4904"/>
    <w:rsid w:val="00AF4A43"/>
    <w:rsid w:val="00AF5712"/>
    <w:rsid w:val="00AF62F8"/>
    <w:rsid w:val="00AF7397"/>
    <w:rsid w:val="00B00DA0"/>
    <w:rsid w:val="00B00F5E"/>
    <w:rsid w:val="00B01FFE"/>
    <w:rsid w:val="00B0224E"/>
    <w:rsid w:val="00B0388E"/>
    <w:rsid w:val="00B03C9D"/>
    <w:rsid w:val="00B03E73"/>
    <w:rsid w:val="00B04789"/>
    <w:rsid w:val="00B059C2"/>
    <w:rsid w:val="00B06ED4"/>
    <w:rsid w:val="00B07171"/>
    <w:rsid w:val="00B10764"/>
    <w:rsid w:val="00B111E5"/>
    <w:rsid w:val="00B11429"/>
    <w:rsid w:val="00B11AED"/>
    <w:rsid w:val="00B133C7"/>
    <w:rsid w:val="00B13587"/>
    <w:rsid w:val="00B13746"/>
    <w:rsid w:val="00B13FF4"/>
    <w:rsid w:val="00B147BE"/>
    <w:rsid w:val="00B1600D"/>
    <w:rsid w:val="00B16B96"/>
    <w:rsid w:val="00B1752B"/>
    <w:rsid w:val="00B2217F"/>
    <w:rsid w:val="00B22C24"/>
    <w:rsid w:val="00B22FB8"/>
    <w:rsid w:val="00B23459"/>
    <w:rsid w:val="00B24E43"/>
    <w:rsid w:val="00B2722A"/>
    <w:rsid w:val="00B27937"/>
    <w:rsid w:val="00B279F2"/>
    <w:rsid w:val="00B279FE"/>
    <w:rsid w:val="00B27B2F"/>
    <w:rsid w:val="00B30875"/>
    <w:rsid w:val="00B308C7"/>
    <w:rsid w:val="00B31074"/>
    <w:rsid w:val="00B32078"/>
    <w:rsid w:val="00B32AF9"/>
    <w:rsid w:val="00B33BEF"/>
    <w:rsid w:val="00B33D11"/>
    <w:rsid w:val="00B346DA"/>
    <w:rsid w:val="00B34B8D"/>
    <w:rsid w:val="00B35BDC"/>
    <w:rsid w:val="00B35C84"/>
    <w:rsid w:val="00B37873"/>
    <w:rsid w:val="00B378BD"/>
    <w:rsid w:val="00B40752"/>
    <w:rsid w:val="00B408C6"/>
    <w:rsid w:val="00B41429"/>
    <w:rsid w:val="00B41635"/>
    <w:rsid w:val="00B443A3"/>
    <w:rsid w:val="00B45EC3"/>
    <w:rsid w:val="00B46276"/>
    <w:rsid w:val="00B50595"/>
    <w:rsid w:val="00B50985"/>
    <w:rsid w:val="00B538D1"/>
    <w:rsid w:val="00B54AB3"/>
    <w:rsid w:val="00B54B55"/>
    <w:rsid w:val="00B551A3"/>
    <w:rsid w:val="00B57770"/>
    <w:rsid w:val="00B579B8"/>
    <w:rsid w:val="00B60773"/>
    <w:rsid w:val="00B62600"/>
    <w:rsid w:val="00B62C06"/>
    <w:rsid w:val="00B6381A"/>
    <w:rsid w:val="00B63EB0"/>
    <w:rsid w:val="00B64138"/>
    <w:rsid w:val="00B65421"/>
    <w:rsid w:val="00B655E8"/>
    <w:rsid w:val="00B6569C"/>
    <w:rsid w:val="00B65F14"/>
    <w:rsid w:val="00B66BBC"/>
    <w:rsid w:val="00B67AD7"/>
    <w:rsid w:val="00B7001A"/>
    <w:rsid w:val="00B71114"/>
    <w:rsid w:val="00B72030"/>
    <w:rsid w:val="00B737DE"/>
    <w:rsid w:val="00B7451C"/>
    <w:rsid w:val="00B7537E"/>
    <w:rsid w:val="00B77787"/>
    <w:rsid w:val="00B81317"/>
    <w:rsid w:val="00B8228E"/>
    <w:rsid w:val="00B82458"/>
    <w:rsid w:val="00B830E9"/>
    <w:rsid w:val="00B83143"/>
    <w:rsid w:val="00B84960"/>
    <w:rsid w:val="00B86384"/>
    <w:rsid w:val="00B86F05"/>
    <w:rsid w:val="00B90732"/>
    <w:rsid w:val="00B9125D"/>
    <w:rsid w:val="00B91A8D"/>
    <w:rsid w:val="00B9624A"/>
    <w:rsid w:val="00B96998"/>
    <w:rsid w:val="00B96E16"/>
    <w:rsid w:val="00B9791E"/>
    <w:rsid w:val="00BA0A05"/>
    <w:rsid w:val="00BA2F1E"/>
    <w:rsid w:val="00BA32E2"/>
    <w:rsid w:val="00BA34D3"/>
    <w:rsid w:val="00BA4496"/>
    <w:rsid w:val="00BA4932"/>
    <w:rsid w:val="00BA4E65"/>
    <w:rsid w:val="00BA64DC"/>
    <w:rsid w:val="00BA6BA6"/>
    <w:rsid w:val="00BA7AA0"/>
    <w:rsid w:val="00BB31D9"/>
    <w:rsid w:val="00BB56E4"/>
    <w:rsid w:val="00BB5CB5"/>
    <w:rsid w:val="00BB6CC4"/>
    <w:rsid w:val="00BB7518"/>
    <w:rsid w:val="00BC1B92"/>
    <w:rsid w:val="00BC251A"/>
    <w:rsid w:val="00BC27C1"/>
    <w:rsid w:val="00BC2AFA"/>
    <w:rsid w:val="00BC2D69"/>
    <w:rsid w:val="00BC2F77"/>
    <w:rsid w:val="00BC4CC0"/>
    <w:rsid w:val="00BC4F6A"/>
    <w:rsid w:val="00BC72BC"/>
    <w:rsid w:val="00BC7707"/>
    <w:rsid w:val="00BC7AE1"/>
    <w:rsid w:val="00BD1DBB"/>
    <w:rsid w:val="00BD2256"/>
    <w:rsid w:val="00BD3018"/>
    <w:rsid w:val="00BD46F2"/>
    <w:rsid w:val="00BD5B56"/>
    <w:rsid w:val="00BD6589"/>
    <w:rsid w:val="00BE0353"/>
    <w:rsid w:val="00BE12C9"/>
    <w:rsid w:val="00BE3631"/>
    <w:rsid w:val="00BE3808"/>
    <w:rsid w:val="00BE44E0"/>
    <w:rsid w:val="00BE4710"/>
    <w:rsid w:val="00BE5C56"/>
    <w:rsid w:val="00BE6F1C"/>
    <w:rsid w:val="00BE7FC1"/>
    <w:rsid w:val="00BF1038"/>
    <w:rsid w:val="00BF1DC7"/>
    <w:rsid w:val="00BF271A"/>
    <w:rsid w:val="00BF42B2"/>
    <w:rsid w:val="00BF56BB"/>
    <w:rsid w:val="00BF6717"/>
    <w:rsid w:val="00BF7063"/>
    <w:rsid w:val="00BF75B7"/>
    <w:rsid w:val="00BF787A"/>
    <w:rsid w:val="00BF7CB2"/>
    <w:rsid w:val="00C0095D"/>
    <w:rsid w:val="00C01DB7"/>
    <w:rsid w:val="00C02411"/>
    <w:rsid w:val="00C0316D"/>
    <w:rsid w:val="00C03725"/>
    <w:rsid w:val="00C03DD1"/>
    <w:rsid w:val="00C0498C"/>
    <w:rsid w:val="00C04B45"/>
    <w:rsid w:val="00C05D6F"/>
    <w:rsid w:val="00C061E3"/>
    <w:rsid w:val="00C06A18"/>
    <w:rsid w:val="00C07157"/>
    <w:rsid w:val="00C07504"/>
    <w:rsid w:val="00C07CC4"/>
    <w:rsid w:val="00C07DCE"/>
    <w:rsid w:val="00C105D3"/>
    <w:rsid w:val="00C110D8"/>
    <w:rsid w:val="00C1194F"/>
    <w:rsid w:val="00C12D91"/>
    <w:rsid w:val="00C12DB8"/>
    <w:rsid w:val="00C12F1C"/>
    <w:rsid w:val="00C13DBF"/>
    <w:rsid w:val="00C154B9"/>
    <w:rsid w:val="00C15CC4"/>
    <w:rsid w:val="00C17D3A"/>
    <w:rsid w:val="00C20A1C"/>
    <w:rsid w:val="00C21096"/>
    <w:rsid w:val="00C22197"/>
    <w:rsid w:val="00C23B22"/>
    <w:rsid w:val="00C242FB"/>
    <w:rsid w:val="00C24692"/>
    <w:rsid w:val="00C251DA"/>
    <w:rsid w:val="00C25E17"/>
    <w:rsid w:val="00C271FD"/>
    <w:rsid w:val="00C30629"/>
    <w:rsid w:val="00C306F8"/>
    <w:rsid w:val="00C31227"/>
    <w:rsid w:val="00C312E3"/>
    <w:rsid w:val="00C33859"/>
    <w:rsid w:val="00C3541C"/>
    <w:rsid w:val="00C3546F"/>
    <w:rsid w:val="00C373A6"/>
    <w:rsid w:val="00C37F4F"/>
    <w:rsid w:val="00C40049"/>
    <w:rsid w:val="00C40505"/>
    <w:rsid w:val="00C40A7F"/>
    <w:rsid w:val="00C40E02"/>
    <w:rsid w:val="00C42BF7"/>
    <w:rsid w:val="00C43097"/>
    <w:rsid w:val="00C432A5"/>
    <w:rsid w:val="00C43B49"/>
    <w:rsid w:val="00C43F31"/>
    <w:rsid w:val="00C442F2"/>
    <w:rsid w:val="00C453FC"/>
    <w:rsid w:val="00C45FB9"/>
    <w:rsid w:val="00C4677B"/>
    <w:rsid w:val="00C46B4C"/>
    <w:rsid w:val="00C47680"/>
    <w:rsid w:val="00C4790E"/>
    <w:rsid w:val="00C50921"/>
    <w:rsid w:val="00C51D45"/>
    <w:rsid w:val="00C51DAB"/>
    <w:rsid w:val="00C5200F"/>
    <w:rsid w:val="00C5201C"/>
    <w:rsid w:val="00C5240B"/>
    <w:rsid w:val="00C52F3F"/>
    <w:rsid w:val="00C53457"/>
    <w:rsid w:val="00C538E0"/>
    <w:rsid w:val="00C53EA3"/>
    <w:rsid w:val="00C5439E"/>
    <w:rsid w:val="00C54D91"/>
    <w:rsid w:val="00C56651"/>
    <w:rsid w:val="00C57C1C"/>
    <w:rsid w:val="00C57CF2"/>
    <w:rsid w:val="00C609A4"/>
    <w:rsid w:val="00C623DE"/>
    <w:rsid w:val="00C625C5"/>
    <w:rsid w:val="00C640AB"/>
    <w:rsid w:val="00C64194"/>
    <w:rsid w:val="00C645BC"/>
    <w:rsid w:val="00C646AF"/>
    <w:rsid w:val="00C65B0A"/>
    <w:rsid w:val="00C674F1"/>
    <w:rsid w:val="00C703B2"/>
    <w:rsid w:val="00C7157D"/>
    <w:rsid w:val="00C7192C"/>
    <w:rsid w:val="00C71FBF"/>
    <w:rsid w:val="00C72164"/>
    <w:rsid w:val="00C723B7"/>
    <w:rsid w:val="00C73730"/>
    <w:rsid w:val="00C7448E"/>
    <w:rsid w:val="00C75075"/>
    <w:rsid w:val="00C75854"/>
    <w:rsid w:val="00C75CCA"/>
    <w:rsid w:val="00C770E8"/>
    <w:rsid w:val="00C80952"/>
    <w:rsid w:val="00C80D49"/>
    <w:rsid w:val="00C81667"/>
    <w:rsid w:val="00C8204D"/>
    <w:rsid w:val="00C82311"/>
    <w:rsid w:val="00C8234C"/>
    <w:rsid w:val="00C823D7"/>
    <w:rsid w:val="00C83C07"/>
    <w:rsid w:val="00C83E01"/>
    <w:rsid w:val="00C84774"/>
    <w:rsid w:val="00C85965"/>
    <w:rsid w:val="00C86154"/>
    <w:rsid w:val="00C86286"/>
    <w:rsid w:val="00C86BD9"/>
    <w:rsid w:val="00C90894"/>
    <w:rsid w:val="00C91029"/>
    <w:rsid w:val="00C911DF"/>
    <w:rsid w:val="00C92D9A"/>
    <w:rsid w:val="00C93179"/>
    <w:rsid w:val="00C937BD"/>
    <w:rsid w:val="00C94048"/>
    <w:rsid w:val="00C959BD"/>
    <w:rsid w:val="00C95E03"/>
    <w:rsid w:val="00C9601D"/>
    <w:rsid w:val="00C966F2"/>
    <w:rsid w:val="00C9758E"/>
    <w:rsid w:val="00C97C1D"/>
    <w:rsid w:val="00CA31A6"/>
    <w:rsid w:val="00CA350D"/>
    <w:rsid w:val="00CA3BF7"/>
    <w:rsid w:val="00CA3D60"/>
    <w:rsid w:val="00CA3F07"/>
    <w:rsid w:val="00CA492A"/>
    <w:rsid w:val="00CA6BB2"/>
    <w:rsid w:val="00CB18BF"/>
    <w:rsid w:val="00CB1D65"/>
    <w:rsid w:val="00CB316D"/>
    <w:rsid w:val="00CB4036"/>
    <w:rsid w:val="00CB5BDE"/>
    <w:rsid w:val="00CB61DE"/>
    <w:rsid w:val="00CB6E2C"/>
    <w:rsid w:val="00CB707C"/>
    <w:rsid w:val="00CB72D9"/>
    <w:rsid w:val="00CC13E3"/>
    <w:rsid w:val="00CC2105"/>
    <w:rsid w:val="00CC2362"/>
    <w:rsid w:val="00CC2DFA"/>
    <w:rsid w:val="00CC2F80"/>
    <w:rsid w:val="00CC495D"/>
    <w:rsid w:val="00CC5175"/>
    <w:rsid w:val="00CC5224"/>
    <w:rsid w:val="00CC56EE"/>
    <w:rsid w:val="00CC57ED"/>
    <w:rsid w:val="00CC62DF"/>
    <w:rsid w:val="00CC6808"/>
    <w:rsid w:val="00CC69B7"/>
    <w:rsid w:val="00CC7E99"/>
    <w:rsid w:val="00CD04ED"/>
    <w:rsid w:val="00CD0939"/>
    <w:rsid w:val="00CD3D7B"/>
    <w:rsid w:val="00CD4218"/>
    <w:rsid w:val="00CD568F"/>
    <w:rsid w:val="00CD59ED"/>
    <w:rsid w:val="00CD6E18"/>
    <w:rsid w:val="00CD7838"/>
    <w:rsid w:val="00CD7D60"/>
    <w:rsid w:val="00CE0B6C"/>
    <w:rsid w:val="00CE15CD"/>
    <w:rsid w:val="00CE3682"/>
    <w:rsid w:val="00CE430C"/>
    <w:rsid w:val="00CE4EE9"/>
    <w:rsid w:val="00CE56DD"/>
    <w:rsid w:val="00CE5AD7"/>
    <w:rsid w:val="00CE5FEB"/>
    <w:rsid w:val="00CE6592"/>
    <w:rsid w:val="00CE70FE"/>
    <w:rsid w:val="00CE7F63"/>
    <w:rsid w:val="00CE7F6B"/>
    <w:rsid w:val="00CF0EC1"/>
    <w:rsid w:val="00CF115F"/>
    <w:rsid w:val="00CF1F1A"/>
    <w:rsid w:val="00CF2079"/>
    <w:rsid w:val="00CF259A"/>
    <w:rsid w:val="00CF29AA"/>
    <w:rsid w:val="00CF3352"/>
    <w:rsid w:val="00CF37FF"/>
    <w:rsid w:val="00CF3AB1"/>
    <w:rsid w:val="00CF549A"/>
    <w:rsid w:val="00CF682E"/>
    <w:rsid w:val="00D001F7"/>
    <w:rsid w:val="00D0074C"/>
    <w:rsid w:val="00D00F56"/>
    <w:rsid w:val="00D0140A"/>
    <w:rsid w:val="00D02558"/>
    <w:rsid w:val="00D04920"/>
    <w:rsid w:val="00D04A8C"/>
    <w:rsid w:val="00D06C50"/>
    <w:rsid w:val="00D079F9"/>
    <w:rsid w:val="00D101DB"/>
    <w:rsid w:val="00D10582"/>
    <w:rsid w:val="00D109A8"/>
    <w:rsid w:val="00D11D3D"/>
    <w:rsid w:val="00D120A6"/>
    <w:rsid w:val="00D138D1"/>
    <w:rsid w:val="00D13AED"/>
    <w:rsid w:val="00D1498C"/>
    <w:rsid w:val="00D14A7D"/>
    <w:rsid w:val="00D14E53"/>
    <w:rsid w:val="00D14EFE"/>
    <w:rsid w:val="00D151BD"/>
    <w:rsid w:val="00D15F96"/>
    <w:rsid w:val="00D1721F"/>
    <w:rsid w:val="00D20301"/>
    <w:rsid w:val="00D204AF"/>
    <w:rsid w:val="00D2412B"/>
    <w:rsid w:val="00D241DE"/>
    <w:rsid w:val="00D24E54"/>
    <w:rsid w:val="00D2583C"/>
    <w:rsid w:val="00D2609D"/>
    <w:rsid w:val="00D26463"/>
    <w:rsid w:val="00D26B68"/>
    <w:rsid w:val="00D30894"/>
    <w:rsid w:val="00D30D1B"/>
    <w:rsid w:val="00D33E22"/>
    <w:rsid w:val="00D369E8"/>
    <w:rsid w:val="00D3772C"/>
    <w:rsid w:val="00D3798C"/>
    <w:rsid w:val="00D37CB7"/>
    <w:rsid w:val="00D407C3"/>
    <w:rsid w:val="00D40AC5"/>
    <w:rsid w:val="00D40CA5"/>
    <w:rsid w:val="00D40D53"/>
    <w:rsid w:val="00D41894"/>
    <w:rsid w:val="00D421D7"/>
    <w:rsid w:val="00D42B3F"/>
    <w:rsid w:val="00D42FC4"/>
    <w:rsid w:val="00D433C2"/>
    <w:rsid w:val="00D440F3"/>
    <w:rsid w:val="00D4418D"/>
    <w:rsid w:val="00D44758"/>
    <w:rsid w:val="00D46433"/>
    <w:rsid w:val="00D477B3"/>
    <w:rsid w:val="00D505CD"/>
    <w:rsid w:val="00D5373E"/>
    <w:rsid w:val="00D5460C"/>
    <w:rsid w:val="00D54A7D"/>
    <w:rsid w:val="00D55AE2"/>
    <w:rsid w:val="00D56BBA"/>
    <w:rsid w:val="00D57F25"/>
    <w:rsid w:val="00D61C0E"/>
    <w:rsid w:val="00D61E0C"/>
    <w:rsid w:val="00D63B08"/>
    <w:rsid w:val="00D644FF"/>
    <w:rsid w:val="00D64D12"/>
    <w:rsid w:val="00D6633B"/>
    <w:rsid w:val="00D66455"/>
    <w:rsid w:val="00D66812"/>
    <w:rsid w:val="00D670CA"/>
    <w:rsid w:val="00D67B3D"/>
    <w:rsid w:val="00D70250"/>
    <w:rsid w:val="00D70A9A"/>
    <w:rsid w:val="00D70BA4"/>
    <w:rsid w:val="00D71009"/>
    <w:rsid w:val="00D71429"/>
    <w:rsid w:val="00D731EF"/>
    <w:rsid w:val="00D735BB"/>
    <w:rsid w:val="00D75638"/>
    <w:rsid w:val="00D75759"/>
    <w:rsid w:val="00D766E0"/>
    <w:rsid w:val="00D76B4F"/>
    <w:rsid w:val="00D8086D"/>
    <w:rsid w:val="00D8125D"/>
    <w:rsid w:val="00D813D3"/>
    <w:rsid w:val="00D83159"/>
    <w:rsid w:val="00D85C90"/>
    <w:rsid w:val="00D87631"/>
    <w:rsid w:val="00D87E14"/>
    <w:rsid w:val="00D87F9A"/>
    <w:rsid w:val="00D90058"/>
    <w:rsid w:val="00D907F8"/>
    <w:rsid w:val="00D91DC5"/>
    <w:rsid w:val="00D928A5"/>
    <w:rsid w:val="00D93105"/>
    <w:rsid w:val="00D93C04"/>
    <w:rsid w:val="00D94A2A"/>
    <w:rsid w:val="00D94FDA"/>
    <w:rsid w:val="00D9644B"/>
    <w:rsid w:val="00D967DB"/>
    <w:rsid w:val="00D96D33"/>
    <w:rsid w:val="00D97EB5"/>
    <w:rsid w:val="00DA0BA3"/>
    <w:rsid w:val="00DA2122"/>
    <w:rsid w:val="00DA2CC3"/>
    <w:rsid w:val="00DA2F29"/>
    <w:rsid w:val="00DA3397"/>
    <w:rsid w:val="00DA3DEC"/>
    <w:rsid w:val="00DA3E24"/>
    <w:rsid w:val="00DA426B"/>
    <w:rsid w:val="00DA4AFD"/>
    <w:rsid w:val="00DA58ED"/>
    <w:rsid w:val="00DA6075"/>
    <w:rsid w:val="00DA7135"/>
    <w:rsid w:val="00DA731D"/>
    <w:rsid w:val="00DA7418"/>
    <w:rsid w:val="00DA7D11"/>
    <w:rsid w:val="00DB079F"/>
    <w:rsid w:val="00DB45B4"/>
    <w:rsid w:val="00DB4BE6"/>
    <w:rsid w:val="00DB4E80"/>
    <w:rsid w:val="00DB5F51"/>
    <w:rsid w:val="00DB6ED6"/>
    <w:rsid w:val="00DB6F44"/>
    <w:rsid w:val="00DC09BC"/>
    <w:rsid w:val="00DC0BFC"/>
    <w:rsid w:val="00DC0F86"/>
    <w:rsid w:val="00DC113D"/>
    <w:rsid w:val="00DC1C8C"/>
    <w:rsid w:val="00DC1F94"/>
    <w:rsid w:val="00DC63B1"/>
    <w:rsid w:val="00DC7116"/>
    <w:rsid w:val="00DC7B6D"/>
    <w:rsid w:val="00DD0472"/>
    <w:rsid w:val="00DD04F3"/>
    <w:rsid w:val="00DD09F9"/>
    <w:rsid w:val="00DD133A"/>
    <w:rsid w:val="00DD3546"/>
    <w:rsid w:val="00DD4B59"/>
    <w:rsid w:val="00DD5FEC"/>
    <w:rsid w:val="00DD62F2"/>
    <w:rsid w:val="00DD66B6"/>
    <w:rsid w:val="00DD6707"/>
    <w:rsid w:val="00DD68FF"/>
    <w:rsid w:val="00DD7198"/>
    <w:rsid w:val="00DD7BA0"/>
    <w:rsid w:val="00DD7FA9"/>
    <w:rsid w:val="00DE00DD"/>
    <w:rsid w:val="00DE0647"/>
    <w:rsid w:val="00DE0B5D"/>
    <w:rsid w:val="00DE18B0"/>
    <w:rsid w:val="00DE27D7"/>
    <w:rsid w:val="00DE370C"/>
    <w:rsid w:val="00DE3933"/>
    <w:rsid w:val="00DE42AC"/>
    <w:rsid w:val="00DE4D21"/>
    <w:rsid w:val="00DE5DCE"/>
    <w:rsid w:val="00DE744E"/>
    <w:rsid w:val="00DF0488"/>
    <w:rsid w:val="00DF081C"/>
    <w:rsid w:val="00DF1101"/>
    <w:rsid w:val="00DF1735"/>
    <w:rsid w:val="00DF19ED"/>
    <w:rsid w:val="00DF3649"/>
    <w:rsid w:val="00DF3D94"/>
    <w:rsid w:val="00DF3E9F"/>
    <w:rsid w:val="00DF6760"/>
    <w:rsid w:val="00E00591"/>
    <w:rsid w:val="00E0137C"/>
    <w:rsid w:val="00E01449"/>
    <w:rsid w:val="00E014F0"/>
    <w:rsid w:val="00E01F43"/>
    <w:rsid w:val="00E01FEF"/>
    <w:rsid w:val="00E02409"/>
    <w:rsid w:val="00E02BCD"/>
    <w:rsid w:val="00E03E91"/>
    <w:rsid w:val="00E04B70"/>
    <w:rsid w:val="00E052A0"/>
    <w:rsid w:val="00E05955"/>
    <w:rsid w:val="00E05AA3"/>
    <w:rsid w:val="00E06747"/>
    <w:rsid w:val="00E06D78"/>
    <w:rsid w:val="00E101FE"/>
    <w:rsid w:val="00E1024C"/>
    <w:rsid w:val="00E1302E"/>
    <w:rsid w:val="00E13325"/>
    <w:rsid w:val="00E13435"/>
    <w:rsid w:val="00E13A97"/>
    <w:rsid w:val="00E14455"/>
    <w:rsid w:val="00E148C8"/>
    <w:rsid w:val="00E15A79"/>
    <w:rsid w:val="00E15F2B"/>
    <w:rsid w:val="00E170D6"/>
    <w:rsid w:val="00E17896"/>
    <w:rsid w:val="00E206EF"/>
    <w:rsid w:val="00E20967"/>
    <w:rsid w:val="00E20A30"/>
    <w:rsid w:val="00E20B32"/>
    <w:rsid w:val="00E21576"/>
    <w:rsid w:val="00E2160C"/>
    <w:rsid w:val="00E21919"/>
    <w:rsid w:val="00E22427"/>
    <w:rsid w:val="00E244C8"/>
    <w:rsid w:val="00E25900"/>
    <w:rsid w:val="00E25B5D"/>
    <w:rsid w:val="00E26359"/>
    <w:rsid w:val="00E2639B"/>
    <w:rsid w:val="00E274B5"/>
    <w:rsid w:val="00E31922"/>
    <w:rsid w:val="00E323F8"/>
    <w:rsid w:val="00E329F6"/>
    <w:rsid w:val="00E33A7B"/>
    <w:rsid w:val="00E33F8D"/>
    <w:rsid w:val="00E34664"/>
    <w:rsid w:val="00E34CB0"/>
    <w:rsid w:val="00E34D78"/>
    <w:rsid w:val="00E350C4"/>
    <w:rsid w:val="00E359F2"/>
    <w:rsid w:val="00E36CC6"/>
    <w:rsid w:val="00E42016"/>
    <w:rsid w:val="00E42527"/>
    <w:rsid w:val="00E4271A"/>
    <w:rsid w:val="00E42A38"/>
    <w:rsid w:val="00E43CCA"/>
    <w:rsid w:val="00E44CA8"/>
    <w:rsid w:val="00E44ECB"/>
    <w:rsid w:val="00E45DEB"/>
    <w:rsid w:val="00E46539"/>
    <w:rsid w:val="00E46ACE"/>
    <w:rsid w:val="00E47E38"/>
    <w:rsid w:val="00E47F9D"/>
    <w:rsid w:val="00E50224"/>
    <w:rsid w:val="00E509BA"/>
    <w:rsid w:val="00E51C6C"/>
    <w:rsid w:val="00E51C6D"/>
    <w:rsid w:val="00E53E2B"/>
    <w:rsid w:val="00E53E97"/>
    <w:rsid w:val="00E540D2"/>
    <w:rsid w:val="00E5583E"/>
    <w:rsid w:val="00E576AD"/>
    <w:rsid w:val="00E57DAE"/>
    <w:rsid w:val="00E60846"/>
    <w:rsid w:val="00E60988"/>
    <w:rsid w:val="00E6136C"/>
    <w:rsid w:val="00E61470"/>
    <w:rsid w:val="00E6242F"/>
    <w:rsid w:val="00E625E2"/>
    <w:rsid w:val="00E629F2"/>
    <w:rsid w:val="00E650C8"/>
    <w:rsid w:val="00E6620B"/>
    <w:rsid w:val="00E6679C"/>
    <w:rsid w:val="00E66F23"/>
    <w:rsid w:val="00E6721B"/>
    <w:rsid w:val="00E703C1"/>
    <w:rsid w:val="00E70FAE"/>
    <w:rsid w:val="00E714A0"/>
    <w:rsid w:val="00E71735"/>
    <w:rsid w:val="00E729FD"/>
    <w:rsid w:val="00E72DFD"/>
    <w:rsid w:val="00E734D1"/>
    <w:rsid w:val="00E73D63"/>
    <w:rsid w:val="00E73EA0"/>
    <w:rsid w:val="00E754FC"/>
    <w:rsid w:val="00E770DA"/>
    <w:rsid w:val="00E77EF9"/>
    <w:rsid w:val="00E82A14"/>
    <w:rsid w:val="00E83E54"/>
    <w:rsid w:val="00E84716"/>
    <w:rsid w:val="00E850DC"/>
    <w:rsid w:val="00E85278"/>
    <w:rsid w:val="00E85300"/>
    <w:rsid w:val="00E85BD3"/>
    <w:rsid w:val="00E861AC"/>
    <w:rsid w:val="00E8626A"/>
    <w:rsid w:val="00E870A3"/>
    <w:rsid w:val="00E876E1"/>
    <w:rsid w:val="00E87773"/>
    <w:rsid w:val="00E87A1B"/>
    <w:rsid w:val="00E90425"/>
    <w:rsid w:val="00E90F58"/>
    <w:rsid w:val="00E91254"/>
    <w:rsid w:val="00E935D1"/>
    <w:rsid w:val="00E9423B"/>
    <w:rsid w:val="00E9432F"/>
    <w:rsid w:val="00E94C72"/>
    <w:rsid w:val="00E97997"/>
    <w:rsid w:val="00EA1BA5"/>
    <w:rsid w:val="00EA1E95"/>
    <w:rsid w:val="00EA1FCD"/>
    <w:rsid w:val="00EA26B0"/>
    <w:rsid w:val="00EA2ED2"/>
    <w:rsid w:val="00EA33EF"/>
    <w:rsid w:val="00EA4943"/>
    <w:rsid w:val="00EA4C2C"/>
    <w:rsid w:val="00EA67E7"/>
    <w:rsid w:val="00EA6E52"/>
    <w:rsid w:val="00EB09F6"/>
    <w:rsid w:val="00EB338C"/>
    <w:rsid w:val="00EB3B9D"/>
    <w:rsid w:val="00EB501A"/>
    <w:rsid w:val="00EB681F"/>
    <w:rsid w:val="00EB6D91"/>
    <w:rsid w:val="00EB79E7"/>
    <w:rsid w:val="00EC3A4F"/>
    <w:rsid w:val="00EC4290"/>
    <w:rsid w:val="00EC4E5A"/>
    <w:rsid w:val="00EC585E"/>
    <w:rsid w:val="00EC78DD"/>
    <w:rsid w:val="00EC7DF3"/>
    <w:rsid w:val="00ED02CD"/>
    <w:rsid w:val="00ED1582"/>
    <w:rsid w:val="00ED1AD2"/>
    <w:rsid w:val="00ED1F88"/>
    <w:rsid w:val="00ED2B39"/>
    <w:rsid w:val="00ED33A6"/>
    <w:rsid w:val="00ED3D66"/>
    <w:rsid w:val="00ED43C7"/>
    <w:rsid w:val="00ED537B"/>
    <w:rsid w:val="00ED538C"/>
    <w:rsid w:val="00ED5587"/>
    <w:rsid w:val="00ED55F4"/>
    <w:rsid w:val="00ED6470"/>
    <w:rsid w:val="00ED67EA"/>
    <w:rsid w:val="00ED7146"/>
    <w:rsid w:val="00ED7E77"/>
    <w:rsid w:val="00EE0B0B"/>
    <w:rsid w:val="00EE16A8"/>
    <w:rsid w:val="00EE1866"/>
    <w:rsid w:val="00EE3B8F"/>
    <w:rsid w:val="00EE3F48"/>
    <w:rsid w:val="00EE4A61"/>
    <w:rsid w:val="00EE4C59"/>
    <w:rsid w:val="00EE4F43"/>
    <w:rsid w:val="00EE63FD"/>
    <w:rsid w:val="00EE7066"/>
    <w:rsid w:val="00EE72F6"/>
    <w:rsid w:val="00EF0109"/>
    <w:rsid w:val="00EF0459"/>
    <w:rsid w:val="00EF076F"/>
    <w:rsid w:val="00EF0A72"/>
    <w:rsid w:val="00EF3997"/>
    <w:rsid w:val="00EF3D76"/>
    <w:rsid w:val="00EF4DB9"/>
    <w:rsid w:val="00EF4DC4"/>
    <w:rsid w:val="00EF6B82"/>
    <w:rsid w:val="00EF717E"/>
    <w:rsid w:val="00F0091B"/>
    <w:rsid w:val="00F00CA4"/>
    <w:rsid w:val="00F01A7A"/>
    <w:rsid w:val="00F023F6"/>
    <w:rsid w:val="00F032AE"/>
    <w:rsid w:val="00F03407"/>
    <w:rsid w:val="00F065B1"/>
    <w:rsid w:val="00F079D7"/>
    <w:rsid w:val="00F103A3"/>
    <w:rsid w:val="00F129DC"/>
    <w:rsid w:val="00F14489"/>
    <w:rsid w:val="00F14B00"/>
    <w:rsid w:val="00F15D0F"/>
    <w:rsid w:val="00F15EB8"/>
    <w:rsid w:val="00F17E3F"/>
    <w:rsid w:val="00F17E68"/>
    <w:rsid w:val="00F17FD5"/>
    <w:rsid w:val="00F20349"/>
    <w:rsid w:val="00F20537"/>
    <w:rsid w:val="00F228E7"/>
    <w:rsid w:val="00F2300E"/>
    <w:rsid w:val="00F23080"/>
    <w:rsid w:val="00F23551"/>
    <w:rsid w:val="00F24163"/>
    <w:rsid w:val="00F24766"/>
    <w:rsid w:val="00F24A65"/>
    <w:rsid w:val="00F25693"/>
    <w:rsid w:val="00F263AA"/>
    <w:rsid w:val="00F26923"/>
    <w:rsid w:val="00F272CB"/>
    <w:rsid w:val="00F30B2E"/>
    <w:rsid w:val="00F30EE1"/>
    <w:rsid w:val="00F31E22"/>
    <w:rsid w:val="00F32A89"/>
    <w:rsid w:val="00F32C71"/>
    <w:rsid w:val="00F3484F"/>
    <w:rsid w:val="00F34F15"/>
    <w:rsid w:val="00F3574E"/>
    <w:rsid w:val="00F358D5"/>
    <w:rsid w:val="00F35ACB"/>
    <w:rsid w:val="00F36333"/>
    <w:rsid w:val="00F36875"/>
    <w:rsid w:val="00F37F67"/>
    <w:rsid w:val="00F41966"/>
    <w:rsid w:val="00F44140"/>
    <w:rsid w:val="00F444DF"/>
    <w:rsid w:val="00F4473C"/>
    <w:rsid w:val="00F45257"/>
    <w:rsid w:val="00F454BF"/>
    <w:rsid w:val="00F456D7"/>
    <w:rsid w:val="00F50FF8"/>
    <w:rsid w:val="00F52523"/>
    <w:rsid w:val="00F52EAD"/>
    <w:rsid w:val="00F54A7C"/>
    <w:rsid w:val="00F56762"/>
    <w:rsid w:val="00F56B47"/>
    <w:rsid w:val="00F57528"/>
    <w:rsid w:val="00F576FF"/>
    <w:rsid w:val="00F6031A"/>
    <w:rsid w:val="00F60DB6"/>
    <w:rsid w:val="00F628F8"/>
    <w:rsid w:val="00F62E99"/>
    <w:rsid w:val="00F65E58"/>
    <w:rsid w:val="00F663E2"/>
    <w:rsid w:val="00F668D1"/>
    <w:rsid w:val="00F66B98"/>
    <w:rsid w:val="00F70EC8"/>
    <w:rsid w:val="00F71269"/>
    <w:rsid w:val="00F7143B"/>
    <w:rsid w:val="00F71B84"/>
    <w:rsid w:val="00F729FA"/>
    <w:rsid w:val="00F72E6F"/>
    <w:rsid w:val="00F731F1"/>
    <w:rsid w:val="00F74528"/>
    <w:rsid w:val="00F74CE1"/>
    <w:rsid w:val="00F76734"/>
    <w:rsid w:val="00F76F13"/>
    <w:rsid w:val="00F77076"/>
    <w:rsid w:val="00F772F1"/>
    <w:rsid w:val="00F77459"/>
    <w:rsid w:val="00F77D45"/>
    <w:rsid w:val="00F77FE8"/>
    <w:rsid w:val="00F80F7B"/>
    <w:rsid w:val="00F80FA8"/>
    <w:rsid w:val="00F81CA0"/>
    <w:rsid w:val="00F82114"/>
    <w:rsid w:val="00F824C8"/>
    <w:rsid w:val="00F83462"/>
    <w:rsid w:val="00F83C85"/>
    <w:rsid w:val="00F850A5"/>
    <w:rsid w:val="00F86689"/>
    <w:rsid w:val="00F87061"/>
    <w:rsid w:val="00F9175D"/>
    <w:rsid w:val="00F91C38"/>
    <w:rsid w:val="00F91C8F"/>
    <w:rsid w:val="00F92490"/>
    <w:rsid w:val="00F92877"/>
    <w:rsid w:val="00F92C8A"/>
    <w:rsid w:val="00F93A09"/>
    <w:rsid w:val="00F96EEE"/>
    <w:rsid w:val="00F9705A"/>
    <w:rsid w:val="00F972F7"/>
    <w:rsid w:val="00FA05AE"/>
    <w:rsid w:val="00FA06BD"/>
    <w:rsid w:val="00FA0879"/>
    <w:rsid w:val="00FA2C6E"/>
    <w:rsid w:val="00FA3E70"/>
    <w:rsid w:val="00FA5574"/>
    <w:rsid w:val="00FA663D"/>
    <w:rsid w:val="00FA692A"/>
    <w:rsid w:val="00FA69F9"/>
    <w:rsid w:val="00FA74C2"/>
    <w:rsid w:val="00FA7541"/>
    <w:rsid w:val="00FB0742"/>
    <w:rsid w:val="00FB17BD"/>
    <w:rsid w:val="00FB2A3B"/>
    <w:rsid w:val="00FB37BE"/>
    <w:rsid w:val="00FB4761"/>
    <w:rsid w:val="00FB5747"/>
    <w:rsid w:val="00FB655C"/>
    <w:rsid w:val="00FB711E"/>
    <w:rsid w:val="00FB73C5"/>
    <w:rsid w:val="00FB7C17"/>
    <w:rsid w:val="00FC087B"/>
    <w:rsid w:val="00FC1D62"/>
    <w:rsid w:val="00FC216D"/>
    <w:rsid w:val="00FC2C19"/>
    <w:rsid w:val="00FC3260"/>
    <w:rsid w:val="00FC4093"/>
    <w:rsid w:val="00FC444B"/>
    <w:rsid w:val="00FC4B2F"/>
    <w:rsid w:val="00FC4FDE"/>
    <w:rsid w:val="00FC58AD"/>
    <w:rsid w:val="00FC7245"/>
    <w:rsid w:val="00FC752C"/>
    <w:rsid w:val="00FC7BC5"/>
    <w:rsid w:val="00FD0FA1"/>
    <w:rsid w:val="00FD132C"/>
    <w:rsid w:val="00FD182C"/>
    <w:rsid w:val="00FD19C5"/>
    <w:rsid w:val="00FD22E9"/>
    <w:rsid w:val="00FD2E12"/>
    <w:rsid w:val="00FD41B9"/>
    <w:rsid w:val="00FD664E"/>
    <w:rsid w:val="00FD7F0A"/>
    <w:rsid w:val="00FE4802"/>
    <w:rsid w:val="00FE5D76"/>
    <w:rsid w:val="00FE6EF7"/>
    <w:rsid w:val="00FE78F3"/>
    <w:rsid w:val="00FF03A7"/>
    <w:rsid w:val="00FF0CC3"/>
    <w:rsid w:val="00FF19AA"/>
    <w:rsid w:val="00FF2884"/>
    <w:rsid w:val="00FF3601"/>
    <w:rsid w:val="00FF4029"/>
    <w:rsid w:val="00FF515B"/>
    <w:rsid w:val="00FF6129"/>
    <w:rsid w:val="00FF6B71"/>
    <w:rsid w:val="01811DED"/>
    <w:rsid w:val="01AE436C"/>
    <w:rsid w:val="020D08F2"/>
    <w:rsid w:val="02421EF3"/>
    <w:rsid w:val="02571016"/>
    <w:rsid w:val="02E648A4"/>
    <w:rsid w:val="031123CF"/>
    <w:rsid w:val="03881849"/>
    <w:rsid w:val="04452F79"/>
    <w:rsid w:val="05AB5E10"/>
    <w:rsid w:val="06337BC6"/>
    <w:rsid w:val="067936D5"/>
    <w:rsid w:val="06B81579"/>
    <w:rsid w:val="076D3470"/>
    <w:rsid w:val="083A521A"/>
    <w:rsid w:val="08617ED4"/>
    <w:rsid w:val="08B32BAC"/>
    <w:rsid w:val="091D0165"/>
    <w:rsid w:val="09642C78"/>
    <w:rsid w:val="09FF2527"/>
    <w:rsid w:val="0A2123D2"/>
    <w:rsid w:val="0A3B329E"/>
    <w:rsid w:val="0A4A2198"/>
    <w:rsid w:val="0A694B0E"/>
    <w:rsid w:val="0ADF6E84"/>
    <w:rsid w:val="0B6702F7"/>
    <w:rsid w:val="0BA15E1A"/>
    <w:rsid w:val="0C210FB9"/>
    <w:rsid w:val="0C437EB6"/>
    <w:rsid w:val="0C5253FC"/>
    <w:rsid w:val="0D14722C"/>
    <w:rsid w:val="0D5565E1"/>
    <w:rsid w:val="0D571EE5"/>
    <w:rsid w:val="0F804D78"/>
    <w:rsid w:val="0F9E7CA6"/>
    <w:rsid w:val="0FB2312B"/>
    <w:rsid w:val="0FD53D40"/>
    <w:rsid w:val="0FF96291"/>
    <w:rsid w:val="101D512F"/>
    <w:rsid w:val="11556E22"/>
    <w:rsid w:val="137C6E18"/>
    <w:rsid w:val="13DF0637"/>
    <w:rsid w:val="14B47B0F"/>
    <w:rsid w:val="15BF70A5"/>
    <w:rsid w:val="15D24F23"/>
    <w:rsid w:val="16024BF8"/>
    <w:rsid w:val="1683496B"/>
    <w:rsid w:val="16A9753D"/>
    <w:rsid w:val="175C4F3F"/>
    <w:rsid w:val="17E65061"/>
    <w:rsid w:val="17F52237"/>
    <w:rsid w:val="187E1F5E"/>
    <w:rsid w:val="188B0E56"/>
    <w:rsid w:val="18FD7B8B"/>
    <w:rsid w:val="19164DBE"/>
    <w:rsid w:val="191C2FBB"/>
    <w:rsid w:val="195E151F"/>
    <w:rsid w:val="19D15D49"/>
    <w:rsid w:val="19F155D6"/>
    <w:rsid w:val="1A317F40"/>
    <w:rsid w:val="1A807D07"/>
    <w:rsid w:val="1A942657"/>
    <w:rsid w:val="1A9C4AF4"/>
    <w:rsid w:val="1AAF2F54"/>
    <w:rsid w:val="1B8F740C"/>
    <w:rsid w:val="1BBB3B78"/>
    <w:rsid w:val="1C711D5A"/>
    <w:rsid w:val="1D0B0A30"/>
    <w:rsid w:val="1D27726F"/>
    <w:rsid w:val="1DB00346"/>
    <w:rsid w:val="1DBA0A4A"/>
    <w:rsid w:val="1F363112"/>
    <w:rsid w:val="1F566F76"/>
    <w:rsid w:val="1F9D11A7"/>
    <w:rsid w:val="1FD4008D"/>
    <w:rsid w:val="1FDE6F33"/>
    <w:rsid w:val="200E1FA8"/>
    <w:rsid w:val="20162A60"/>
    <w:rsid w:val="201A5A5E"/>
    <w:rsid w:val="20644438"/>
    <w:rsid w:val="20917AF9"/>
    <w:rsid w:val="21214D2B"/>
    <w:rsid w:val="226B0737"/>
    <w:rsid w:val="230E4E60"/>
    <w:rsid w:val="236459BA"/>
    <w:rsid w:val="239726A4"/>
    <w:rsid w:val="23AB6394"/>
    <w:rsid w:val="24125C17"/>
    <w:rsid w:val="24754F2E"/>
    <w:rsid w:val="24C0315A"/>
    <w:rsid w:val="2522342A"/>
    <w:rsid w:val="25241461"/>
    <w:rsid w:val="25B00F94"/>
    <w:rsid w:val="26324344"/>
    <w:rsid w:val="27244286"/>
    <w:rsid w:val="27A52F98"/>
    <w:rsid w:val="27D67FE2"/>
    <w:rsid w:val="286E48E8"/>
    <w:rsid w:val="28F41964"/>
    <w:rsid w:val="29E86EB9"/>
    <w:rsid w:val="2AB86E1A"/>
    <w:rsid w:val="2AF71AB6"/>
    <w:rsid w:val="2BF55544"/>
    <w:rsid w:val="2D6C13D4"/>
    <w:rsid w:val="2D837CF0"/>
    <w:rsid w:val="2E040994"/>
    <w:rsid w:val="2E112A4C"/>
    <w:rsid w:val="2EAC3E2B"/>
    <w:rsid w:val="2EC17EC2"/>
    <w:rsid w:val="2F3A1359"/>
    <w:rsid w:val="2F6E18BE"/>
    <w:rsid w:val="305339C4"/>
    <w:rsid w:val="307349EB"/>
    <w:rsid w:val="30853204"/>
    <w:rsid w:val="30A40C8A"/>
    <w:rsid w:val="30ED3C4D"/>
    <w:rsid w:val="32882BD3"/>
    <w:rsid w:val="32DC31E0"/>
    <w:rsid w:val="330301AC"/>
    <w:rsid w:val="33D674C4"/>
    <w:rsid w:val="340B3877"/>
    <w:rsid w:val="34A259C4"/>
    <w:rsid w:val="34AB2A0C"/>
    <w:rsid w:val="3512177C"/>
    <w:rsid w:val="35DB19B1"/>
    <w:rsid w:val="35FA730D"/>
    <w:rsid w:val="36032A28"/>
    <w:rsid w:val="360D6E98"/>
    <w:rsid w:val="361F7E53"/>
    <w:rsid w:val="36CA38E4"/>
    <w:rsid w:val="37311408"/>
    <w:rsid w:val="38027104"/>
    <w:rsid w:val="3834391C"/>
    <w:rsid w:val="386C5A60"/>
    <w:rsid w:val="388F3A49"/>
    <w:rsid w:val="38BE1B07"/>
    <w:rsid w:val="393B1972"/>
    <w:rsid w:val="394D0640"/>
    <w:rsid w:val="399D6173"/>
    <w:rsid w:val="3AB3405B"/>
    <w:rsid w:val="3ACE0D78"/>
    <w:rsid w:val="3B573E68"/>
    <w:rsid w:val="3B874C7C"/>
    <w:rsid w:val="3B9635C5"/>
    <w:rsid w:val="3BB917F1"/>
    <w:rsid w:val="3BCB0B70"/>
    <w:rsid w:val="3C293395"/>
    <w:rsid w:val="3C40012F"/>
    <w:rsid w:val="3C894625"/>
    <w:rsid w:val="3D586E6E"/>
    <w:rsid w:val="3D69292A"/>
    <w:rsid w:val="3D6F4B52"/>
    <w:rsid w:val="3E0200A4"/>
    <w:rsid w:val="3E6A66F5"/>
    <w:rsid w:val="3EAE1F80"/>
    <w:rsid w:val="3F0A2D11"/>
    <w:rsid w:val="3F547F05"/>
    <w:rsid w:val="402E4EFB"/>
    <w:rsid w:val="408411C3"/>
    <w:rsid w:val="40877B1A"/>
    <w:rsid w:val="40B97D23"/>
    <w:rsid w:val="41C23A43"/>
    <w:rsid w:val="4281226C"/>
    <w:rsid w:val="42A05B70"/>
    <w:rsid w:val="42C5012F"/>
    <w:rsid w:val="432E3D4A"/>
    <w:rsid w:val="43AE2B3F"/>
    <w:rsid w:val="43E75A88"/>
    <w:rsid w:val="455911DF"/>
    <w:rsid w:val="45A17C91"/>
    <w:rsid w:val="45DB11C6"/>
    <w:rsid w:val="45E123A4"/>
    <w:rsid w:val="45F13FBF"/>
    <w:rsid w:val="463D3884"/>
    <w:rsid w:val="4763732C"/>
    <w:rsid w:val="47746B64"/>
    <w:rsid w:val="47CC1B8B"/>
    <w:rsid w:val="491C798D"/>
    <w:rsid w:val="497D5297"/>
    <w:rsid w:val="497E1E97"/>
    <w:rsid w:val="4A1639A1"/>
    <w:rsid w:val="4A2F3D5E"/>
    <w:rsid w:val="4A3C0596"/>
    <w:rsid w:val="4B60562A"/>
    <w:rsid w:val="4B653F48"/>
    <w:rsid w:val="4CA1752B"/>
    <w:rsid w:val="4CC66BCA"/>
    <w:rsid w:val="4EEB12D4"/>
    <w:rsid w:val="4F19369D"/>
    <w:rsid w:val="4F55565F"/>
    <w:rsid w:val="4F580A0C"/>
    <w:rsid w:val="4F82227E"/>
    <w:rsid w:val="50A55104"/>
    <w:rsid w:val="51D42BF5"/>
    <w:rsid w:val="5490624F"/>
    <w:rsid w:val="54DC2873"/>
    <w:rsid w:val="552E14F3"/>
    <w:rsid w:val="55886B12"/>
    <w:rsid w:val="55955A3C"/>
    <w:rsid w:val="55C52E6E"/>
    <w:rsid w:val="56080A9A"/>
    <w:rsid w:val="565D62DA"/>
    <w:rsid w:val="56722F64"/>
    <w:rsid w:val="569C79D6"/>
    <w:rsid w:val="571A60EF"/>
    <w:rsid w:val="575B619B"/>
    <w:rsid w:val="58020B4B"/>
    <w:rsid w:val="58026E0D"/>
    <w:rsid w:val="58142D09"/>
    <w:rsid w:val="58D15415"/>
    <w:rsid w:val="58D64AD7"/>
    <w:rsid w:val="593A6A79"/>
    <w:rsid w:val="593E4D3A"/>
    <w:rsid w:val="594A1985"/>
    <w:rsid w:val="598A43E8"/>
    <w:rsid w:val="5AAA28E0"/>
    <w:rsid w:val="5AC704BD"/>
    <w:rsid w:val="5AEE378D"/>
    <w:rsid w:val="5B402AA7"/>
    <w:rsid w:val="5C01668F"/>
    <w:rsid w:val="5C043016"/>
    <w:rsid w:val="5C7409B8"/>
    <w:rsid w:val="5CF2772E"/>
    <w:rsid w:val="5D7A5436"/>
    <w:rsid w:val="5ED8032D"/>
    <w:rsid w:val="5F992A1B"/>
    <w:rsid w:val="60A01E18"/>
    <w:rsid w:val="60C57F4D"/>
    <w:rsid w:val="61171A9F"/>
    <w:rsid w:val="61332696"/>
    <w:rsid w:val="614D4530"/>
    <w:rsid w:val="614D6E2C"/>
    <w:rsid w:val="61C7479E"/>
    <w:rsid w:val="61D6068C"/>
    <w:rsid w:val="62DA1FE6"/>
    <w:rsid w:val="63FC1DD0"/>
    <w:rsid w:val="64DE21E4"/>
    <w:rsid w:val="64DF0582"/>
    <w:rsid w:val="655D3BA6"/>
    <w:rsid w:val="67D50BE7"/>
    <w:rsid w:val="68156054"/>
    <w:rsid w:val="68215A4B"/>
    <w:rsid w:val="68C87F1C"/>
    <w:rsid w:val="68F95BE0"/>
    <w:rsid w:val="69205829"/>
    <w:rsid w:val="69337451"/>
    <w:rsid w:val="69403C9A"/>
    <w:rsid w:val="69C76105"/>
    <w:rsid w:val="6A3E1BA3"/>
    <w:rsid w:val="6AAA7B82"/>
    <w:rsid w:val="6AEF4CAF"/>
    <w:rsid w:val="6B0520AC"/>
    <w:rsid w:val="6B05355E"/>
    <w:rsid w:val="6B21783E"/>
    <w:rsid w:val="6B302137"/>
    <w:rsid w:val="6B8C740E"/>
    <w:rsid w:val="6BA44686"/>
    <w:rsid w:val="6D1E586A"/>
    <w:rsid w:val="6D5749E0"/>
    <w:rsid w:val="6D7B64C9"/>
    <w:rsid w:val="6DC01BB1"/>
    <w:rsid w:val="6E121FDF"/>
    <w:rsid w:val="6E8C76FE"/>
    <w:rsid w:val="6EEE0530"/>
    <w:rsid w:val="6F570BA9"/>
    <w:rsid w:val="7005291A"/>
    <w:rsid w:val="70191531"/>
    <w:rsid w:val="70465043"/>
    <w:rsid w:val="707C0F3E"/>
    <w:rsid w:val="71102FF2"/>
    <w:rsid w:val="722C2BF8"/>
    <w:rsid w:val="727C0B70"/>
    <w:rsid w:val="72AD5201"/>
    <w:rsid w:val="72D13AD2"/>
    <w:rsid w:val="73CE2C78"/>
    <w:rsid w:val="73F7714E"/>
    <w:rsid w:val="741E14A8"/>
    <w:rsid w:val="7432447F"/>
    <w:rsid w:val="74391A0A"/>
    <w:rsid w:val="750A7314"/>
    <w:rsid w:val="75DC1491"/>
    <w:rsid w:val="75EE4A70"/>
    <w:rsid w:val="76353A6C"/>
    <w:rsid w:val="763D3CBB"/>
    <w:rsid w:val="76860614"/>
    <w:rsid w:val="76A24C5B"/>
    <w:rsid w:val="76D95F66"/>
    <w:rsid w:val="778634D0"/>
    <w:rsid w:val="77C535B3"/>
    <w:rsid w:val="78030C0D"/>
    <w:rsid w:val="78DE3432"/>
    <w:rsid w:val="792B0620"/>
    <w:rsid w:val="797045E5"/>
    <w:rsid w:val="79CC35C6"/>
    <w:rsid w:val="7B2D6E84"/>
    <w:rsid w:val="7B4550C0"/>
    <w:rsid w:val="7BCE70E9"/>
    <w:rsid w:val="7C3C55D8"/>
    <w:rsid w:val="7C9B268E"/>
    <w:rsid w:val="7CB86A2B"/>
    <w:rsid w:val="7DAC3EA3"/>
    <w:rsid w:val="7EC85D8C"/>
    <w:rsid w:val="7ED05FA4"/>
    <w:rsid w:val="7EF837CE"/>
    <w:rsid w:val="7F6B6F3B"/>
    <w:rsid w:val="7FBC0B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type="pattern" on="t" color2="#FFFFFF" focussize="0,0" r:id="rId1"/>
      <v:stroke on="f"/>
    </o:shapedefaults>
    <o:shapelayout v:ext="edit">
      <o:idmap v:ext="edit" data="2"/>
      <o:rules v:ext="edit">
        <o:r id="V:Rule1" type="connector" idref="#自选图形 7"/>
        <o:r id="V:Rule2" type="connector" idref="#自选图形 12"/>
        <o:r id="V:Rule3" type="connector" idref="#自选图形 16"/>
        <o:r id="V:Rule4" type="connector" idref="#_x0000_s2070"/>
        <o:r id="V:Rule5" type="connector" idref="#_x0000_s2071"/>
        <o:r id="V:Rule6" type="connector" idref="#自选图形 1204"/>
        <o:r id="V:Rule7" type="connector" idref="#自选图形 1209"/>
        <o:r id="V:Rule8" type="connector" idref="#自选图形 1213"/>
        <o:r id="V:Rule9" type="connector" idref="#自选图形 314"/>
        <o:r id="V:Rule10" type="connector" idref="#自选图形 118"/>
        <o:r id="V:Rule11" type="connector" idref="#自选图形 124"/>
        <o:r id="V:Rule12" type="connector" idref="#自选图形 129"/>
        <o:r id="V:Rule13" type="connector" idref="#自选图形 134"/>
        <o:r id="V:Rule14" type="connector" idref="#自选图形 142"/>
        <o:r id="V:Rule15" type="connector" idref="#自选图形 15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outlineLvl w:val="0"/>
    </w:pPr>
    <w:rPr>
      <w:rFonts w:ascii="宋体" w:hAnsi="宋体"/>
      <w:b/>
      <w:kern w:val="44"/>
      <w:sz w:val="24"/>
      <w:szCs w:val="20"/>
    </w:rPr>
  </w:style>
  <w:style w:type="paragraph" w:styleId="3">
    <w:name w:val="heading 2"/>
    <w:basedOn w:val="1"/>
    <w:next w:val="1"/>
    <w:qFormat/>
    <w:uiPriority w:val="0"/>
    <w:pPr>
      <w:keepNext/>
      <w:keepLines/>
      <w:outlineLvl w:val="1"/>
    </w:pPr>
    <w:rPr>
      <w:sz w:val="24"/>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9"/>
    <w:basedOn w:val="1"/>
    <w:next w:val="1"/>
    <w:link w:val="77"/>
    <w:semiHidden/>
    <w:unhideWhenUsed/>
    <w:qFormat/>
    <w:uiPriority w:val="0"/>
    <w:pPr>
      <w:keepNext/>
      <w:keepLines/>
      <w:spacing w:before="240" w:after="64" w:line="320" w:lineRule="auto"/>
      <w:outlineLvl w:val="8"/>
    </w:pPr>
    <w:rPr>
      <w:rFonts w:asciiTheme="majorHAnsi" w:hAnsiTheme="majorHAnsi" w:eastAsiaTheme="majorEastAsia" w:cstheme="majorBidi"/>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2520" w:leftChars="1200"/>
    </w:p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Body Text Indent"/>
    <w:basedOn w:val="1"/>
    <w:qFormat/>
    <w:uiPriority w:val="0"/>
    <w:pPr>
      <w:spacing w:line="360" w:lineRule="exact"/>
      <w:ind w:firstLine="420"/>
    </w:pPr>
  </w:style>
  <w:style w:type="paragraph" w:styleId="10">
    <w:name w:val="toc 5"/>
    <w:basedOn w:val="1"/>
    <w:next w:val="1"/>
    <w:semiHidden/>
    <w:qFormat/>
    <w:uiPriority w:val="0"/>
    <w:pPr>
      <w:ind w:left="1680" w:leftChars="800"/>
    </w:pPr>
  </w:style>
  <w:style w:type="paragraph" w:styleId="11">
    <w:name w:val="toc 3"/>
    <w:basedOn w:val="1"/>
    <w:next w:val="1"/>
    <w:semiHidden/>
    <w:qFormat/>
    <w:uiPriority w:val="0"/>
    <w:pPr>
      <w:ind w:left="840" w:leftChars="400"/>
    </w:pPr>
  </w:style>
  <w:style w:type="paragraph" w:styleId="12">
    <w:name w:val="toc 8"/>
    <w:basedOn w:val="1"/>
    <w:next w:val="1"/>
    <w:semiHidden/>
    <w:qFormat/>
    <w:uiPriority w:val="0"/>
    <w:pPr>
      <w:ind w:left="2940" w:leftChars="1400"/>
    </w:pPr>
  </w:style>
  <w:style w:type="paragraph" w:styleId="13">
    <w:name w:val="Date"/>
    <w:basedOn w:val="1"/>
    <w:next w:val="1"/>
    <w:link w:val="38"/>
    <w:qFormat/>
    <w:uiPriority w:val="0"/>
    <w:pPr>
      <w:ind w:left="100" w:leftChars="2500"/>
    </w:pPr>
  </w:style>
  <w:style w:type="paragraph" w:styleId="14">
    <w:name w:val="Body Text Indent 2"/>
    <w:basedOn w:val="1"/>
    <w:qFormat/>
    <w:uiPriority w:val="0"/>
    <w:pPr>
      <w:autoSpaceDE w:val="0"/>
      <w:autoSpaceDN w:val="0"/>
      <w:adjustRightInd w:val="0"/>
      <w:snapToGrid w:val="0"/>
      <w:spacing w:line="300" w:lineRule="auto"/>
      <w:ind w:firstLine="480" w:firstLineChars="200"/>
    </w:pPr>
    <w:rPr>
      <w:kern w:val="0"/>
      <w:sz w:val="24"/>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tabs>
        <w:tab w:val="right" w:leader="dot" w:pos="9345"/>
      </w:tabs>
    </w:pPr>
  </w:style>
  <w:style w:type="paragraph" w:styleId="19">
    <w:name w:val="toc 4"/>
    <w:basedOn w:val="1"/>
    <w:next w:val="1"/>
    <w:semiHidden/>
    <w:qFormat/>
    <w:uiPriority w:val="0"/>
    <w:pPr>
      <w:ind w:left="1260" w:leftChars="600"/>
    </w:pPr>
  </w:style>
  <w:style w:type="paragraph" w:styleId="20">
    <w:name w:val="footnote text"/>
    <w:basedOn w:val="1"/>
    <w:semiHidden/>
    <w:qFormat/>
    <w:uiPriority w:val="0"/>
    <w:pPr>
      <w:snapToGrid w:val="0"/>
      <w:jc w:val="left"/>
    </w:pPr>
    <w:rPr>
      <w:sz w:val="18"/>
      <w:szCs w:val="18"/>
    </w:rPr>
  </w:style>
  <w:style w:type="paragraph" w:styleId="21">
    <w:name w:val="toc 6"/>
    <w:basedOn w:val="1"/>
    <w:next w:val="1"/>
    <w:semiHidden/>
    <w:qFormat/>
    <w:uiPriority w:val="0"/>
    <w:pPr>
      <w:ind w:left="2100" w:leftChars="1000"/>
    </w:pPr>
  </w:style>
  <w:style w:type="paragraph" w:styleId="22">
    <w:name w:val="toc 2"/>
    <w:basedOn w:val="1"/>
    <w:next w:val="1"/>
    <w:qFormat/>
    <w:uiPriority w:val="39"/>
    <w:pPr>
      <w:tabs>
        <w:tab w:val="left" w:pos="600"/>
        <w:tab w:val="right" w:leader="dot" w:pos="9345"/>
      </w:tabs>
      <w:spacing w:line="300" w:lineRule="auto"/>
    </w:pPr>
    <w:rPr>
      <w:sz w:val="24"/>
    </w:rPr>
  </w:style>
  <w:style w:type="paragraph" w:styleId="23">
    <w:name w:val="toc 9"/>
    <w:basedOn w:val="1"/>
    <w:next w:val="1"/>
    <w:semiHidden/>
    <w:qFormat/>
    <w:uiPriority w:val="0"/>
    <w:pPr>
      <w:ind w:left="3360" w:leftChars="1600"/>
    </w:pPr>
  </w:style>
  <w:style w:type="paragraph" w:styleId="24">
    <w:name w:val="Title"/>
    <w:basedOn w:val="1"/>
    <w:qFormat/>
    <w:uiPriority w:val="0"/>
    <w:pPr>
      <w:spacing w:before="240" w:after="60"/>
      <w:jc w:val="center"/>
      <w:outlineLvl w:val="0"/>
    </w:pPr>
    <w:rPr>
      <w:rFonts w:ascii="Arial" w:hAnsi="Arial" w:cs="Arial"/>
      <w:b/>
      <w:bCs/>
      <w:sz w:val="32"/>
      <w:szCs w:val="32"/>
    </w:rPr>
  </w:style>
  <w:style w:type="paragraph" w:styleId="25">
    <w:name w:val="annotation subject"/>
    <w:basedOn w:val="8"/>
    <w:next w:val="8"/>
    <w:semiHidden/>
    <w:qFormat/>
    <w:uiPriority w:val="0"/>
    <w:rPr>
      <w:b/>
      <w:bCs/>
    </w:rPr>
  </w:style>
  <w:style w:type="table" w:styleId="27">
    <w:name w:val="Table Grid"/>
    <w:basedOn w:val="2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styleId="35">
    <w:name w:val="footnote reference"/>
    <w:semiHidden/>
    <w:qFormat/>
    <w:uiPriority w:val="0"/>
    <w:rPr>
      <w:vertAlign w:val="superscript"/>
    </w:rPr>
  </w:style>
  <w:style w:type="character" w:customStyle="1" w:styleId="36">
    <w:name w:val="页眉 Char"/>
    <w:link w:val="17"/>
    <w:qFormat/>
    <w:uiPriority w:val="99"/>
    <w:rPr>
      <w:kern w:val="2"/>
      <w:sz w:val="18"/>
      <w:szCs w:val="18"/>
    </w:rPr>
  </w:style>
  <w:style w:type="character" w:customStyle="1" w:styleId="37">
    <w:name w:val="标题 1 Char"/>
    <w:link w:val="2"/>
    <w:qFormat/>
    <w:uiPriority w:val="0"/>
    <w:rPr>
      <w:rFonts w:ascii="宋体" w:hAnsi="宋体" w:eastAsia="宋体"/>
      <w:b/>
      <w:kern w:val="44"/>
      <w:sz w:val="24"/>
      <w:lang w:val="en-US" w:eastAsia="zh-CN" w:bidi="ar-SA"/>
    </w:rPr>
  </w:style>
  <w:style w:type="character" w:customStyle="1" w:styleId="38">
    <w:name w:val="日期 Char"/>
    <w:link w:val="13"/>
    <w:qFormat/>
    <w:uiPriority w:val="0"/>
    <w:rPr>
      <w:kern w:val="2"/>
      <w:sz w:val="21"/>
      <w:szCs w:val="24"/>
    </w:rPr>
  </w:style>
  <w:style w:type="character" w:customStyle="1" w:styleId="39">
    <w:name w:val="apple-converted-space"/>
    <w:basedOn w:val="28"/>
    <w:qFormat/>
    <w:uiPriority w:val="0"/>
  </w:style>
  <w:style w:type="character" w:customStyle="1" w:styleId="40">
    <w:name w:val="段 Char"/>
    <w:link w:val="41"/>
    <w:qFormat/>
    <w:uiPriority w:val="0"/>
    <w:rPr>
      <w:rFonts w:ascii="宋体"/>
      <w:sz w:val="21"/>
      <w:lang w:val="en-US" w:eastAsia="zh-CN" w:bidi="ar-SA"/>
    </w:rPr>
  </w:style>
  <w:style w:type="paragraph" w:customStyle="1" w:styleId="41">
    <w:name w:val="段"/>
    <w:next w:val="1"/>
    <w:link w:val="4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2">
    <w:name w:val="四级条标题"/>
    <w:basedOn w:val="43"/>
    <w:next w:val="41"/>
    <w:qFormat/>
    <w:uiPriority w:val="0"/>
    <w:pPr>
      <w:numPr>
        <w:ilvl w:val="5"/>
      </w:numPr>
      <w:tabs>
        <w:tab w:val="left" w:pos="720"/>
        <w:tab w:val="left" w:pos="1080"/>
      </w:tabs>
      <w:ind w:left="1080" w:hanging="1080"/>
      <w:outlineLvl w:val="5"/>
    </w:pPr>
  </w:style>
  <w:style w:type="paragraph" w:customStyle="1" w:styleId="43">
    <w:name w:val="三级条标题"/>
    <w:basedOn w:val="44"/>
    <w:next w:val="41"/>
    <w:qFormat/>
    <w:uiPriority w:val="0"/>
    <w:pPr>
      <w:numPr>
        <w:ilvl w:val="4"/>
      </w:numPr>
      <w:tabs>
        <w:tab w:val="left" w:pos="720"/>
        <w:tab w:val="left" w:pos="1080"/>
      </w:tabs>
      <w:ind w:left="1080" w:hanging="1080"/>
      <w:outlineLvl w:val="4"/>
    </w:pPr>
  </w:style>
  <w:style w:type="paragraph" w:customStyle="1" w:styleId="44">
    <w:name w:val="二级条标题"/>
    <w:basedOn w:val="45"/>
    <w:next w:val="41"/>
    <w:qFormat/>
    <w:uiPriority w:val="0"/>
    <w:pPr>
      <w:numPr>
        <w:ilvl w:val="3"/>
      </w:numPr>
      <w:tabs>
        <w:tab w:val="left" w:pos="720"/>
      </w:tabs>
      <w:outlineLvl w:val="3"/>
    </w:pPr>
  </w:style>
  <w:style w:type="paragraph" w:customStyle="1" w:styleId="45">
    <w:name w:val="一级条标题"/>
    <w:basedOn w:val="46"/>
    <w:next w:val="41"/>
    <w:qFormat/>
    <w:uiPriority w:val="0"/>
    <w:pPr>
      <w:numPr>
        <w:ilvl w:val="2"/>
      </w:numPr>
      <w:tabs>
        <w:tab w:val="left" w:pos="720"/>
      </w:tabs>
      <w:spacing w:before="0" w:after="0" w:line="240" w:lineRule="auto"/>
      <w:ind w:left="720" w:hanging="720"/>
      <w:outlineLvl w:val="2"/>
    </w:pPr>
  </w:style>
  <w:style w:type="paragraph" w:customStyle="1" w:styleId="46">
    <w:name w:val="章标题"/>
    <w:next w:val="1"/>
    <w:qFormat/>
    <w:uiPriority w:val="0"/>
    <w:pPr>
      <w:numPr>
        <w:ilvl w:val="1"/>
        <w:numId w:val="1"/>
      </w:numPr>
      <w:spacing w:before="50" w:after="50" w:line="360" w:lineRule="auto"/>
      <w:jc w:val="both"/>
      <w:outlineLvl w:val="1"/>
    </w:pPr>
    <w:rPr>
      <w:rFonts w:ascii="黑体" w:hAnsi="Times New Roman" w:eastAsia="黑体" w:cs="Times New Roman"/>
      <w:sz w:val="21"/>
      <w:lang w:val="en-US" w:eastAsia="zh-CN" w:bidi="ar-SA"/>
    </w:rPr>
  </w:style>
  <w:style w:type="paragraph" w:customStyle="1" w:styleId="47">
    <w:name w:val="标准文件_封面标准英文名称"/>
    <w:basedOn w:val="1"/>
    <w:qFormat/>
    <w:uiPriority w:val="0"/>
    <w:pPr>
      <w:adjustRightInd w:val="0"/>
      <w:spacing w:line="440" w:lineRule="exact"/>
      <w:jc w:val="center"/>
    </w:pPr>
    <w:rPr>
      <w:rFonts w:eastAsia="黑体"/>
      <w:b/>
      <w:sz w:val="28"/>
      <w:szCs w:val="20"/>
    </w:rPr>
  </w:style>
  <w:style w:type="paragraph" w:customStyle="1" w:styleId="48">
    <w:name w:val="Heading(NoNumber)"/>
    <w:basedOn w:val="1"/>
    <w:qFormat/>
    <w:uiPriority w:val="0"/>
    <w:pPr>
      <w:spacing w:before="100" w:after="200"/>
      <w:jc w:val="center"/>
    </w:pPr>
    <w:rPr>
      <w:rFonts w:ascii="Arial" w:hAnsi="Arial"/>
      <w:caps/>
      <w:color w:val="000000"/>
      <w:spacing w:val="8"/>
      <w:kern w:val="0"/>
      <w:sz w:val="24"/>
      <w:szCs w:val="20"/>
      <w:lang w:val="en-GB" w:eastAsia="en-US"/>
    </w:rPr>
  </w:style>
  <w:style w:type="paragraph" w:customStyle="1" w:styleId="4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0">
    <w:name w:val="TABLE-col heading"/>
    <w:basedOn w:val="1"/>
    <w:qFormat/>
    <w:uiPriority w:val="0"/>
    <w:pPr>
      <w:widowControl/>
      <w:tabs>
        <w:tab w:val="left" w:pos="1134"/>
        <w:tab w:val="center" w:pos="4536"/>
        <w:tab w:val="right" w:pos="9072"/>
      </w:tabs>
      <w:spacing w:before="60" w:after="60"/>
      <w:jc w:val="center"/>
    </w:pPr>
    <w:rPr>
      <w:rFonts w:ascii="Arial" w:hAnsi="Arial"/>
      <w:b/>
      <w:color w:val="000000"/>
      <w:spacing w:val="8"/>
      <w:kern w:val="0"/>
      <w:sz w:val="16"/>
      <w:szCs w:val="20"/>
      <w:lang w:val="en-GB" w:eastAsia="en-US"/>
    </w:rPr>
  </w:style>
  <w:style w:type="paragraph" w:customStyle="1" w:styleId="51">
    <w:name w:val="ANNEX-title"/>
    <w:basedOn w:val="24"/>
    <w:qFormat/>
    <w:uiPriority w:val="0"/>
    <w:pPr>
      <w:widowControl/>
      <w:overflowPunct w:val="0"/>
      <w:autoSpaceDE w:val="0"/>
      <w:autoSpaceDN w:val="0"/>
      <w:adjustRightInd w:val="0"/>
      <w:spacing w:before="0" w:after="0"/>
      <w:outlineLvl w:val="9"/>
    </w:pPr>
    <w:rPr>
      <w:rFonts w:cs="Times New Roman"/>
      <w:bCs w:val="0"/>
      <w:spacing w:val="8"/>
      <w:kern w:val="28"/>
      <w:sz w:val="24"/>
      <w:szCs w:val="20"/>
      <w:lang w:val="en-GB" w:eastAsia="da-DK"/>
    </w:rPr>
  </w:style>
  <w:style w:type="paragraph" w:customStyle="1" w:styleId="52">
    <w:name w:val="标准文件_段"/>
    <w:qFormat/>
    <w:uiPriority w:val="0"/>
    <w:pPr>
      <w:autoSpaceDE w:val="0"/>
      <w:autoSpaceDN w:val="0"/>
      <w:adjustRightInd w:val="0"/>
      <w:snapToGrid w:val="0"/>
      <w:ind w:firstLine="428" w:firstLineChars="200"/>
      <w:jc w:val="both"/>
    </w:pPr>
    <w:rPr>
      <w:rFonts w:ascii="宋体" w:hAnsi="宋体" w:eastAsia="宋体" w:cs="Times New Roman"/>
      <w:color w:val="000000"/>
      <w:spacing w:val="2"/>
      <w:sz w:val="21"/>
      <w:szCs w:val="21"/>
      <w:lang w:val="en-US" w:eastAsia="zh-CN" w:bidi="ar-SA"/>
    </w:rPr>
  </w:style>
  <w:style w:type="paragraph" w:customStyle="1" w:styleId="53">
    <w:name w:val="标准文件_五级条标题"/>
    <w:basedOn w:val="54"/>
    <w:next w:val="1"/>
    <w:qFormat/>
    <w:uiPriority w:val="0"/>
    <w:pPr>
      <w:outlineLvl w:val="6"/>
    </w:pPr>
  </w:style>
  <w:style w:type="paragraph" w:customStyle="1" w:styleId="54">
    <w:name w:val="标准文件_四级条标题"/>
    <w:basedOn w:val="55"/>
    <w:next w:val="1"/>
    <w:qFormat/>
    <w:uiPriority w:val="0"/>
    <w:pPr>
      <w:ind w:left="0"/>
      <w:outlineLvl w:val="5"/>
    </w:pPr>
  </w:style>
  <w:style w:type="paragraph" w:customStyle="1" w:styleId="55">
    <w:name w:val="标准文件_三级条标题"/>
    <w:basedOn w:val="56"/>
    <w:next w:val="1"/>
    <w:qFormat/>
    <w:uiPriority w:val="0"/>
    <w:pPr>
      <w:ind w:left="732"/>
      <w:outlineLvl w:val="4"/>
    </w:pPr>
  </w:style>
  <w:style w:type="paragraph" w:customStyle="1" w:styleId="56">
    <w:name w:val="标准文件_二级条标题"/>
    <w:basedOn w:val="57"/>
    <w:next w:val="1"/>
    <w:qFormat/>
    <w:uiPriority w:val="0"/>
    <w:pPr>
      <w:outlineLvl w:val="3"/>
    </w:pPr>
  </w:style>
  <w:style w:type="paragraph" w:customStyle="1" w:styleId="57">
    <w:name w:val="标准文件_一级条标题"/>
    <w:basedOn w:val="58"/>
    <w:next w:val="1"/>
    <w:qFormat/>
    <w:uiPriority w:val="0"/>
    <w:pPr>
      <w:spacing w:beforeLines="0" w:afterLines="0"/>
      <w:outlineLvl w:val="2"/>
    </w:pPr>
  </w:style>
  <w:style w:type="paragraph" w:customStyle="1" w:styleId="58">
    <w:name w:val="标准文件_章标题"/>
    <w:next w:val="1"/>
    <w:qFormat/>
    <w:uiPriority w:val="0"/>
    <w:p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59">
    <w:name w:val="注："/>
    <w:next w:val="41"/>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0">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customStyle="1" w:styleId="61">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2">
    <w:name w:val="标准文件_注："/>
    <w:next w:val="52"/>
    <w:qFormat/>
    <w:uiPriority w:val="0"/>
    <w:pPr>
      <w:widowControl w:val="0"/>
      <w:numPr>
        <w:ilvl w:val="0"/>
        <w:numId w:val="2"/>
      </w:numPr>
      <w:tabs>
        <w:tab w:val="clear" w:pos="1140"/>
      </w:tabs>
      <w:autoSpaceDE w:val="0"/>
      <w:autoSpaceDN w:val="0"/>
      <w:spacing w:afterLines="30" w:line="300" w:lineRule="exact"/>
      <w:ind w:left="513" w:leftChars="150" w:right="-50" w:rightChars="-50" w:hanging="363"/>
      <w:jc w:val="both"/>
    </w:pPr>
    <w:rPr>
      <w:rFonts w:ascii="宋体" w:hAnsi="Times New Roman" w:eastAsia="宋体" w:cs="Times New Roman"/>
      <w:sz w:val="18"/>
      <w:lang w:val="en-US" w:eastAsia="zh-CN" w:bidi="ar-SA"/>
    </w:rPr>
  </w:style>
  <w:style w:type="paragraph" w:customStyle="1" w:styleId="63">
    <w:name w:val="标准文件_正文图标题"/>
    <w:next w:val="52"/>
    <w:qFormat/>
    <w:uiPriority w:val="0"/>
    <w:pPr>
      <w:jc w:val="center"/>
    </w:pPr>
    <w:rPr>
      <w:rFonts w:ascii="黑体" w:hAnsi="Times New Roman" w:eastAsia="黑体" w:cs="Times New Roman"/>
      <w:sz w:val="21"/>
      <w:lang w:val="en-US" w:eastAsia="zh-CN" w:bidi="ar-SA"/>
    </w:rPr>
  </w:style>
  <w:style w:type="paragraph" w:customStyle="1" w:styleId="64">
    <w:name w:val="Char Char1"/>
    <w:basedOn w:val="1"/>
    <w:qFormat/>
    <w:uiPriority w:val="0"/>
    <w:rPr>
      <w:rFonts w:ascii="Tahoma" w:hAnsi="Tahoma"/>
      <w:sz w:val="24"/>
      <w:szCs w:val="20"/>
    </w:rPr>
  </w:style>
  <w:style w:type="paragraph" w:customStyle="1" w:styleId="65">
    <w:name w:val="标准文件_字母编号列项"/>
    <w:qFormat/>
    <w:uiPriority w:val="0"/>
    <w:pPr>
      <w:spacing w:line="300" w:lineRule="exact"/>
      <w:ind w:left="370" w:leftChars="170" w:right="-50" w:rightChars="-50" w:hanging="200" w:hangingChars="200"/>
      <w:jc w:val="both"/>
    </w:pPr>
    <w:rPr>
      <w:rFonts w:ascii="宋体" w:hAnsi="Times New Roman" w:eastAsia="宋体" w:cs="Times New Roman"/>
      <w:sz w:val="21"/>
      <w:lang w:val="en-US" w:eastAsia="zh-CN" w:bidi="ar-SA"/>
    </w:rPr>
  </w:style>
  <w:style w:type="paragraph" w:customStyle="1" w:styleId="66">
    <w:name w:val="正文图标题"/>
    <w:next w:val="41"/>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67">
    <w:name w:val="五级条标题"/>
    <w:basedOn w:val="42"/>
    <w:next w:val="41"/>
    <w:qFormat/>
    <w:uiPriority w:val="0"/>
    <w:pPr>
      <w:numPr>
        <w:ilvl w:val="6"/>
      </w:numPr>
      <w:tabs>
        <w:tab w:val="left" w:pos="1440"/>
      </w:tabs>
      <w:ind w:left="1440" w:hanging="1440"/>
      <w:outlineLvl w:val="6"/>
    </w:pPr>
  </w:style>
  <w:style w:type="paragraph" w:customStyle="1" w:styleId="6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9">
    <w:name w:val="附录章标题"/>
    <w:next w:val="41"/>
    <w:qFormat/>
    <w:uiPriority w:val="0"/>
    <w:pPr>
      <w:widowControl w:val="0"/>
      <w:tabs>
        <w:tab w:val="left" w:pos="4536"/>
      </w:tabs>
      <w:adjustRightInd w:val="0"/>
      <w:snapToGrid w:val="0"/>
      <w:spacing w:line="300" w:lineRule="auto"/>
      <w:ind w:firstLine="480" w:firstLineChars="200"/>
      <w:jc w:val="both"/>
    </w:pPr>
    <w:rPr>
      <w:rFonts w:ascii="宋体" w:hAnsi="宋体" w:eastAsia="宋体" w:cs="Times New Roman"/>
      <w:kern w:val="2"/>
      <w:sz w:val="24"/>
      <w:szCs w:val="24"/>
      <w:lang w:val="en-US" w:eastAsia="zh-CN" w:bidi="ar-SA"/>
    </w:rPr>
  </w:style>
  <w:style w:type="paragraph" w:customStyle="1" w:styleId="70">
    <w:name w:val="PARAGRAPH"/>
    <w:qFormat/>
    <w:uiPriority w:val="0"/>
    <w:pPr>
      <w:overflowPunct w:val="0"/>
      <w:autoSpaceDE w:val="0"/>
      <w:autoSpaceDN w:val="0"/>
      <w:adjustRightInd w:val="0"/>
      <w:spacing w:before="100" w:after="200"/>
      <w:jc w:val="both"/>
    </w:pPr>
    <w:rPr>
      <w:rFonts w:ascii="Arial" w:hAnsi="Arial" w:eastAsia="宋体" w:cs="Times New Roman"/>
      <w:spacing w:val="8"/>
      <w:lang w:val="en-GB" w:eastAsia="da-DK" w:bidi="ar-SA"/>
    </w:rPr>
  </w:style>
  <w:style w:type="paragraph" w:customStyle="1" w:styleId="71">
    <w:name w:val="TABLE-title"/>
    <w:basedOn w:val="70"/>
    <w:qFormat/>
    <w:uiPriority w:val="0"/>
    <w:pPr>
      <w:jc w:val="center"/>
    </w:pPr>
    <w:rPr>
      <w:b/>
      <w:sz w:val="19"/>
    </w:rPr>
  </w:style>
  <w:style w:type="paragraph" w:customStyle="1" w:styleId="72">
    <w:name w:val="字母编号列项"/>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73">
    <w:name w:val="发布部门"/>
    <w:next w:val="4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74">
    <w:name w:val="TABLE-cell"/>
    <w:basedOn w:val="1"/>
    <w:qFormat/>
    <w:uiPriority w:val="0"/>
    <w:pPr>
      <w:widowControl/>
      <w:overflowPunct w:val="0"/>
      <w:autoSpaceDE w:val="0"/>
      <w:autoSpaceDN w:val="0"/>
      <w:adjustRightInd w:val="0"/>
      <w:spacing w:before="60" w:after="60"/>
      <w:jc w:val="left"/>
    </w:pPr>
    <w:rPr>
      <w:rFonts w:ascii="Arial" w:hAnsi="Arial"/>
      <w:spacing w:val="8"/>
      <w:kern w:val="0"/>
      <w:sz w:val="16"/>
      <w:szCs w:val="20"/>
      <w:lang w:val="en-GB" w:eastAsia="da-DK"/>
    </w:rPr>
  </w:style>
  <w:style w:type="paragraph" w:customStyle="1" w:styleId="75">
    <w:name w:val="列出段落1"/>
    <w:basedOn w:val="1"/>
    <w:qFormat/>
    <w:uiPriority w:val="0"/>
    <w:pPr>
      <w:ind w:firstLine="420" w:firstLineChars="200"/>
    </w:pPr>
  </w:style>
  <w:style w:type="paragraph" w:customStyle="1" w:styleId="76">
    <w:name w:val="列出段落2"/>
    <w:basedOn w:val="1"/>
    <w:qFormat/>
    <w:uiPriority w:val="34"/>
    <w:pPr>
      <w:ind w:firstLine="420" w:firstLineChars="200"/>
    </w:pPr>
  </w:style>
  <w:style w:type="character" w:customStyle="1" w:styleId="77">
    <w:name w:val="标题 9 Char"/>
    <w:basedOn w:val="28"/>
    <w:link w:val="5"/>
    <w:semiHidden/>
    <w:qFormat/>
    <w:uiPriority w:val="0"/>
    <w:rPr>
      <w:rFonts w:asciiTheme="majorHAnsi" w:hAnsiTheme="majorHAnsi" w:eastAsiaTheme="majorEastAsia" w:cstheme="majorBid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footer" Target="footer3.xml"/><Relationship Id="rId59" Type="http://schemas.openxmlformats.org/officeDocument/2006/relationships/customXml" Target="../customXml/item1.xml"/><Relationship Id="rId58" Type="http://schemas.openxmlformats.org/officeDocument/2006/relationships/image" Target="media/image26.wmf"/><Relationship Id="rId57" Type="http://schemas.openxmlformats.org/officeDocument/2006/relationships/oleObject" Target="embeddings/oleObject24.bin"/><Relationship Id="rId56" Type="http://schemas.openxmlformats.org/officeDocument/2006/relationships/image" Target="media/image25.wmf"/><Relationship Id="rId55" Type="http://schemas.openxmlformats.org/officeDocument/2006/relationships/oleObject" Target="embeddings/oleObject23.bin"/><Relationship Id="rId54" Type="http://schemas.openxmlformats.org/officeDocument/2006/relationships/image" Target="media/image24.wmf"/><Relationship Id="rId53" Type="http://schemas.openxmlformats.org/officeDocument/2006/relationships/oleObject" Target="embeddings/oleObject22.bin"/><Relationship Id="rId52" Type="http://schemas.openxmlformats.org/officeDocument/2006/relationships/image" Target="media/image23.wmf"/><Relationship Id="rId51" Type="http://schemas.openxmlformats.org/officeDocument/2006/relationships/oleObject" Target="embeddings/oleObject21.bin"/><Relationship Id="rId50" Type="http://schemas.openxmlformats.org/officeDocument/2006/relationships/image" Target="media/image22.wmf"/><Relationship Id="rId5" Type="http://schemas.openxmlformats.org/officeDocument/2006/relationships/header" Target="header1.xml"/><Relationship Id="rId49" Type="http://schemas.openxmlformats.org/officeDocument/2006/relationships/oleObject" Target="embeddings/oleObject20.bin"/><Relationship Id="rId48" Type="http://schemas.openxmlformats.org/officeDocument/2006/relationships/image" Target="media/image21.wmf"/><Relationship Id="rId47" Type="http://schemas.openxmlformats.org/officeDocument/2006/relationships/oleObject" Target="embeddings/oleObject19.bin"/><Relationship Id="rId46" Type="http://schemas.openxmlformats.org/officeDocument/2006/relationships/image" Target="media/image20.wmf"/><Relationship Id="rId45" Type="http://schemas.openxmlformats.org/officeDocument/2006/relationships/oleObject" Target="embeddings/oleObject18.bin"/><Relationship Id="rId44" Type="http://schemas.openxmlformats.org/officeDocument/2006/relationships/image" Target="media/image19.wmf"/><Relationship Id="rId43" Type="http://schemas.openxmlformats.org/officeDocument/2006/relationships/oleObject" Target="embeddings/oleObject17.bin"/><Relationship Id="rId42" Type="http://schemas.openxmlformats.org/officeDocument/2006/relationships/image" Target="media/image18.wmf"/><Relationship Id="rId41" Type="http://schemas.openxmlformats.org/officeDocument/2006/relationships/oleObject" Target="embeddings/oleObject16.bin"/><Relationship Id="rId40" Type="http://schemas.openxmlformats.org/officeDocument/2006/relationships/image" Target="media/image17.wmf"/><Relationship Id="rId4" Type="http://schemas.openxmlformats.org/officeDocument/2006/relationships/footer" Target="footer2.xml"/><Relationship Id="rId39" Type="http://schemas.openxmlformats.org/officeDocument/2006/relationships/oleObject" Target="embeddings/oleObject15.bin"/><Relationship Id="rId38" Type="http://schemas.openxmlformats.org/officeDocument/2006/relationships/image" Target="media/image16.wmf"/><Relationship Id="rId37" Type="http://schemas.openxmlformats.org/officeDocument/2006/relationships/oleObject" Target="embeddings/oleObject14.bin"/><Relationship Id="rId36" Type="http://schemas.openxmlformats.org/officeDocument/2006/relationships/image" Target="media/image15.wmf"/><Relationship Id="rId35" Type="http://schemas.openxmlformats.org/officeDocument/2006/relationships/oleObject" Target="embeddings/oleObject13.bin"/><Relationship Id="rId34" Type="http://schemas.openxmlformats.org/officeDocument/2006/relationships/image" Target="media/image14.wmf"/><Relationship Id="rId33" Type="http://schemas.openxmlformats.org/officeDocument/2006/relationships/oleObject" Target="embeddings/oleObject12.bin"/><Relationship Id="rId32" Type="http://schemas.openxmlformats.org/officeDocument/2006/relationships/image" Target="media/image13.wmf"/><Relationship Id="rId31" Type="http://schemas.openxmlformats.org/officeDocument/2006/relationships/oleObject" Target="embeddings/oleObject11.bin"/><Relationship Id="rId30" Type="http://schemas.openxmlformats.org/officeDocument/2006/relationships/image" Target="media/image12.wmf"/><Relationship Id="rId3" Type="http://schemas.openxmlformats.org/officeDocument/2006/relationships/footer" Target="footer1.xml"/><Relationship Id="rId29" Type="http://schemas.openxmlformats.org/officeDocument/2006/relationships/oleObject" Target="embeddings/oleObject10.bin"/><Relationship Id="rId28" Type="http://schemas.openxmlformats.org/officeDocument/2006/relationships/image" Target="media/image11.wmf"/><Relationship Id="rId27" Type="http://schemas.openxmlformats.org/officeDocument/2006/relationships/oleObject" Target="embeddings/oleObject9.bin"/><Relationship Id="rId26" Type="http://schemas.openxmlformats.org/officeDocument/2006/relationships/image" Target="media/image10.wmf"/><Relationship Id="rId25" Type="http://schemas.openxmlformats.org/officeDocument/2006/relationships/oleObject" Target="embeddings/oleObject8.bin"/><Relationship Id="rId24" Type="http://schemas.openxmlformats.org/officeDocument/2006/relationships/image" Target="media/image9.wmf"/><Relationship Id="rId23" Type="http://schemas.openxmlformats.org/officeDocument/2006/relationships/oleObject" Target="embeddings/oleObject7.bin"/><Relationship Id="rId22" Type="http://schemas.openxmlformats.org/officeDocument/2006/relationships/image" Target="media/image8.wmf"/><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GI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image" Target="media/image1.bm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53"/>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72"/>
    <customShpInfo spid="_x0000_s2090"/>
    <customShpInfo spid="_x0000_s2091"/>
    <customShpInfo spid="_x0000_s2092"/>
    <customShpInfo spid="_x0000_s2093"/>
    <customShpInfo spid="_x0000_s2094"/>
    <customShpInfo spid="_x0000_s2095"/>
    <customShpInfo spid="_x0000_s2096"/>
    <customShpInfo spid="_x0000_s2097"/>
    <customShpInfo spid="_x0000_s2089"/>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098"/>
    <customShpInfo spid="_x0000_s2124"/>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34"/>
    <customShpInfo spid="_x0000_s2135"/>
    <customShpInfo spid="_x0000_s2136"/>
    <customShpInfo spid="_x0000_s2137"/>
    <customShpInfo spid="_x0000_s2138"/>
    <customShpInfo spid="_x0000_s2139"/>
    <customShpInfo spid="_x0000_s2140"/>
    <customShpInfo spid="_x0000_s2141"/>
    <customShpInfo spid="_x0000_s2142"/>
    <customShpInfo spid="_x0000_s2123"/>
    <customShpInfo spid="_x0000_s2143"/>
    <customShpInfo spid="_x0000_s2144"/>
    <customShpInfo spid="_x0000_s2145"/>
    <customShpInfo spid="_x0000_s21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504DF9-3690-466F-A36E-62B6AA4DD2B1}">
  <ds:schemaRefs/>
</ds:datastoreItem>
</file>

<file path=docProps/app.xml><?xml version="1.0" encoding="utf-8"?>
<Properties xmlns="http://schemas.openxmlformats.org/officeDocument/2006/extended-properties" xmlns:vt="http://schemas.openxmlformats.org/officeDocument/2006/docPropsVTypes">
  <Template>Normal</Template>
  <Company>p</Company>
  <Pages>20</Pages>
  <Words>6580</Words>
  <Characters>4784</Characters>
  <Lines>39</Lines>
  <Paragraphs>22</Paragraphs>
  <TotalTime>27</TotalTime>
  <ScaleCrop>false</ScaleCrop>
  <LinksUpToDate>false</LinksUpToDate>
  <CharactersWithSpaces>11342</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2026-07-17T10:08:00Z</dcterms:created>
  <dc:creator>ligz</dc:creator>
  <cp:lastModifiedBy>ligz</cp:lastModifiedBy>
  <cp:lastPrinted>2010-01-25T07:02:00Z</cp:lastPrinted>
  <dcterms:modified xsi:type="dcterms:W3CDTF">2026-07-18T04:24:59Z</dcterms:modified>
  <dc:title>试听室声学特性测试技术规范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9923A1EEC9434634AAE57A159099B01B</vt:lpwstr>
  </property>
</Properties>
</file>